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F" w:rsidRPr="00A445AD" w:rsidRDefault="00456FED" w:rsidP="001E79DF">
      <w:pPr>
        <w:pStyle w:val="AODocTx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160A2" wp14:editId="5214D143">
            <wp:simplePos x="0" y="0"/>
            <wp:positionH relativeFrom="column">
              <wp:posOffset>3975406</wp:posOffset>
            </wp:positionH>
            <wp:positionV relativeFrom="paragraph">
              <wp:posOffset>-496373</wp:posOffset>
            </wp:positionV>
            <wp:extent cx="2382345" cy="2017986"/>
            <wp:effectExtent l="0" t="0" r="0" b="1905"/>
            <wp:wrapNone/>
            <wp:docPr id="2" name="Picture 2" descr="H:\My Documents\CRD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CRD I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45" cy="20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ED" w:rsidRDefault="00456FED" w:rsidP="00330937">
      <w:pPr>
        <w:jc w:val="center"/>
        <w:rPr>
          <w:rFonts w:ascii="Times New Roman" w:hAnsi="Times New Roman"/>
          <w:b/>
          <w:bCs/>
          <w:i/>
          <w:sz w:val="44"/>
          <w:szCs w:val="20"/>
        </w:rPr>
      </w:pPr>
    </w:p>
    <w:p w:rsidR="00456FED" w:rsidRDefault="00456FED" w:rsidP="00330937">
      <w:pPr>
        <w:jc w:val="center"/>
        <w:rPr>
          <w:rFonts w:ascii="Times New Roman" w:hAnsi="Times New Roman"/>
          <w:b/>
          <w:bCs/>
          <w:i/>
          <w:sz w:val="44"/>
          <w:szCs w:val="20"/>
        </w:rPr>
      </w:pPr>
    </w:p>
    <w:p w:rsidR="00456FED" w:rsidRDefault="00456FED" w:rsidP="00330937">
      <w:pPr>
        <w:jc w:val="center"/>
        <w:rPr>
          <w:rFonts w:ascii="Times New Roman" w:hAnsi="Times New Roman"/>
          <w:b/>
          <w:bCs/>
          <w:i/>
          <w:sz w:val="44"/>
          <w:szCs w:val="20"/>
        </w:rPr>
      </w:pPr>
    </w:p>
    <w:p w:rsidR="00456FED" w:rsidRDefault="00456FED" w:rsidP="00330937">
      <w:pPr>
        <w:jc w:val="center"/>
        <w:rPr>
          <w:rFonts w:ascii="Times New Roman" w:hAnsi="Times New Roman"/>
          <w:b/>
          <w:bCs/>
          <w:i/>
          <w:sz w:val="44"/>
          <w:szCs w:val="20"/>
        </w:rPr>
      </w:pPr>
    </w:p>
    <w:p w:rsidR="00456FED" w:rsidRDefault="00456FED" w:rsidP="00330937">
      <w:pPr>
        <w:jc w:val="center"/>
        <w:rPr>
          <w:rFonts w:ascii="Times New Roman" w:hAnsi="Times New Roman"/>
          <w:b/>
          <w:bCs/>
          <w:i/>
          <w:sz w:val="44"/>
          <w:szCs w:val="20"/>
        </w:rPr>
      </w:pPr>
    </w:p>
    <w:p w:rsidR="00A445AD" w:rsidRDefault="00A445AD" w:rsidP="00456FED">
      <w:pPr>
        <w:spacing w:after="120"/>
        <w:jc w:val="center"/>
        <w:rPr>
          <w:rFonts w:ascii="Times New Roman" w:hAnsi="Times New Roman"/>
          <w:b/>
          <w:bCs/>
          <w:i/>
          <w:sz w:val="44"/>
          <w:szCs w:val="20"/>
        </w:rPr>
      </w:pPr>
      <w:r w:rsidRPr="00330937">
        <w:rPr>
          <w:rFonts w:ascii="Times New Roman" w:hAnsi="Times New Roman"/>
          <w:b/>
          <w:bCs/>
          <w:i/>
          <w:sz w:val="44"/>
          <w:szCs w:val="20"/>
        </w:rPr>
        <w:t>Pay reform in 2016 - Key dates</w:t>
      </w:r>
    </w:p>
    <w:p w:rsidR="00A445AD" w:rsidRPr="00A445AD" w:rsidRDefault="00A445AD" w:rsidP="00A445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ColorfulList-Accent1"/>
        <w:tblW w:w="9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3"/>
        <w:gridCol w:w="7502"/>
      </w:tblGrid>
      <w:tr w:rsidR="00330937" w:rsidRPr="00330937" w:rsidTr="00330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tcBorders>
              <w:bottom w:val="none" w:sz="0" w:space="0" w:color="auto"/>
            </w:tcBorders>
            <w:vAlign w:val="center"/>
          </w:tcPr>
          <w:p w:rsidR="00330937" w:rsidRPr="00330937" w:rsidRDefault="00330937" w:rsidP="00330937">
            <w:pPr>
              <w:autoSpaceDE w:val="0"/>
              <w:autoSpaceDN w:val="0"/>
              <w:spacing w:before="120" w:after="1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30937">
              <w:rPr>
                <w:rFonts w:ascii="Times New Roman" w:hAnsi="Times New Roman"/>
                <w:sz w:val="24"/>
                <w:szCs w:val="20"/>
              </w:rPr>
              <w:t>Date</w:t>
            </w:r>
          </w:p>
        </w:tc>
        <w:tc>
          <w:tcPr>
            <w:tcW w:w="7502" w:type="dxa"/>
            <w:tcBorders>
              <w:bottom w:val="none" w:sz="0" w:space="0" w:color="auto"/>
            </w:tcBorders>
            <w:vAlign w:val="center"/>
          </w:tcPr>
          <w:p w:rsidR="00330937" w:rsidRPr="00330937" w:rsidRDefault="00330937" w:rsidP="003309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0"/>
              </w:rPr>
            </w:pPr>
            <w:r w:rsidRPr="00330937">
              <w:rPr>
                <w:rFonts w:ascii="Times New Roman" w:hAnsi="Times New Roman"/>
                <w:sz w:val="24"/>
                <w:szCs w:val="20"/>
              </w:rPr>
              <w:t>Development</w:t>
            </w:r>
          </w:p>
        </w:tc>
      </w:tr>
      <w:tr w:rsidR="00A445AD" w:rsidRPr="00330937" w:rsidTr="0033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Cs w:val="20"/>
              </w:rPr>
            </w:pPr>
            <w:bookmarkStart w:id="0" w:name="_GoBack" w:colFirst="2" w:colLast="2"/>
            <w:r w:rsidRPr="00330937">
              <w:rPr>
                <w:rFonts w:ascii="Times New Roman" w:hAnsi="Times New Roman"/>
                <w:szCs w:val="20"/>
              </w:rPr>
              <w:t xml:space="preserve">1 January 2016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>New deferral/vesting requirements apply for different categories of Material Risk Takers</w:t>
            </w:r>
            <w:r w:rsidR="00AB1180" w:rsidRPr="00330937">
              <w:rPr>
                <w:rFonts w:ascii="Times New Roman" w:hAnsi="Times New Roman"/>
                <w:szCs w:val="20"/>
              </w:rPr>
              <w:t xml:space="preserve"> (“</w:t>
            </w:r>
            <w:r w:rsidR="00AB1180" w:rsidRPr="00330937">
              <w:rPr>
                <w:rFonts w:ascii="Times New Roman" w:hAnsi="Times New Roman"/>
                <w:b/>
                <w:szCs w:val="20"/>
              </w:rPr>
              <w:t>MRTs</w:t>
            </w:r>
            <w:r w:rsidR="00AB1180" w:rsidRPr="00330937">
              <w:rPr>
                <w:rFonts w:ascii="Times New Roman" w:hAnsi="Times New Roman"/>
                <w:szCs w:val="20"/>
              </w:rPr>
              <w:t>”)</w:t>
            </w:r>
            <w:r w:rsidRPr="00330937">
              <w:rPr>
                <w:rFonts w:ascii="Times New Roman" w:hAnsi="Times New Roman"/>
                <w:szCs w:val="20"/>
              </w:rPr>
              <w:t>.  Extended clawback</w:t>
            </w:r>
            <w:r w:rsidR="00122086">
              <w:rPr>
                <w:rFonts w:ascii="Times New Roman" w:hAnsi="Times New Roman"/>
                <w:szCs w:val="20"/>
              </w:rPr>
              <w:t xml:space="preserve"> rights</w:t>
            </w:r>
            <w:r w:rsidRPr="00330937">
              <w:rPr>
                <w:rFonts w:ascii="Times New Roman" w:hAnsi="Times New Roman"/>
                <w:szCs w:val="20"/>
              </w:rPr>
              <w:t xml:space="preserve"> (up to 10 years) to apply for PRA-Senior Managers in some circumstances</w:t>
            </w:r>
            <w:r w:rsidRPr="00B46FA0">
              <w:rPr>
                <w:rFonts w:ascii="Times New Roman" w:hAnsi="Times New Roman"/>
                <w:szCs w:val="20"/>
              </w:rPr>
              <w:t xml:space="preserve">. </w:t>
            </w:r>
            <w:r w:rsidRPr="00B46FA0">
              <w:rPr>
                <w:rFonts w:ascii="Times New Roman" w:hAnsi="Times New Roman"/>
                <w:bCs/>
                <w:szCs w:val="20"/>
              </w:rPr>
              <w:t>Click</w:t>
            </w:r>
            <w:r w:rsidRPr="00B46FA0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hyperlink r:id="rId12" w:history="1">
              <w:r w:rsidRPr="00B46FA0">
                <w:rPr>
                  <w:rStyle w:val="Hyperlink"/>
                  <w:rFonts w:ascii="Times New Roman" w:hAnsi="Times New Roman"/>
                  <w:b/>
                  <w:bCs/>
                  <w:szCs w:val="20"/>
                </w:rPr>
                <w:t>here</w:t>
              </w:r>
            </w:hyperlink>
            <w:r w:rsidRPr="00330937">
              <w:rPr>
                <w:rFonts w:ascii="Times New Roman" w:hAnsi="Times New Roman"/>
                <w:szCs w:val="20"/>
              </w:rPr>
              <w:t xml:space="preserve"> to see our </w:t>
            </w:r>
            <w:proofErr w:type="spellStart"/>
            <w:r w:rsidRPr="00330937">
              <w:rPr>
                <w:rFonts w:ascii="Times New Roman" w:hAnsi="Times New Roman"/>
                <w:szCs w:val="20"/>
              </w:rPr>
              <w:t>eAlert</w:t>
            </w:r>
            <w:proofErr w:type="spellEnd"/>
            <w:r w:rsidRPr="00330937">
              <w:rPr>
                <w:rFonts w:ascii="Times New Roman" w:hAnsi="Times New Roman"/>
                <w:szCs w:val="20"/>
              </w:rPr>
              <w:t xml:space="preserve"> on the new rules.</w:t>
            </w:r>
          </w:p>
        </w:tc>
      </w:tr>
      <w:bookmarkEnd w:id="0"/>
      <w:tr w:rsidR="00A445AD" w:rsidRPr="00330937" w:rsidTr="00330937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 xml:space="preserve">29 February 2016 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>PRA and FCA confirm full compliance with EBA Remuneration Guidelines from 201</w:t>
            </w:r>
            <w:r w:rsidR="00AB1180" w:rsidRPr="00330937">
              <w:rPr>
                <w:rFonts w:ascii="Times New Roman" w:hAnsi="Times New Roman"/>
                <w:szCs w:val="20"/>
              </w:rPr>
              <w:t xml:space="preserve">7, except bonus cap requirement </w:t>
            </w:r>
            <w:r w:rsidRPr="00330937">
              <w:rPr>
                <w:rFonts w:ascii="Times New Roman" w:hAnsi="Times New Roman"/>
                <w:szCs w:val="20"/>
              </w:rPr>
              <w:t>for all firms.</w:t>
            </w:r>
          </w:p>
        </w:tc>
      </w:tr>
      <w:tr w:rsidR="00A445AD" w:rsidRPr="00330937" w:rsidTr="0033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 xml:space="preserve">7 March 2016 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 xml:space="preserve">Senior Managers and Certification regime in effect – PRA/FCA remuneration rules apply to those who are MRTs. </w:t>
            </w:r>
            <w:r w:rsidRPr="00B46FA0">
              <w:rPr>
                <w:rFonts w:ascii="Times New Roman" w:hAnsi="Times New Roman"/>
                <w:bCs/>
                <w:szCs w:val="20"/>
              </w:rPr>
              <w:t>Click</w:t>
            </w:r>
            <w:r w:rsidRPr="00B46FA0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hyperlink r:id="rId13" w:history="1">
              <w:r w:rsidRPr="00B46FA0">
                <w:rPr>
                  <w:rStyle w:val="Hyperlink"/>
                  <w:rFonts w:ascii="Times New Roman" w:hAnsi="Times New Roman"/>
                  <w:b/>
                  <w:bCs/>
                  <w:szCs w:val="20"/>
                </w:rPr>
                <w:t>here</w:t>
              </w:r>
            </w:hyperlink>
            <w:r w:rsidRPr="00330937">
              <w:rPr>
                <w:rFonts w:ascii="Times New Roman" w:hAnsi="Times New Roman"/>
                <w:szCs w:val="20"/>
              </w:rPr>
              <w:t xml:space="preserve"> for our blog post on the HR aspects.</w:t>
            </w:r>
          </w:p>
        </w:tc>
      </w:tr>
      <w:tr w:rsidR="00A445AD" w:rsidRPr="00330937" w:rsidTr="00330937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pStyle w:val="Default"/>
              <w:spacing w:before="120" w:after="12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30937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22 March 2016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pStyle w:val="Defaul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30937">
              <w:rPr>
                <w:rFonts w:ascii="Times New Roman" w:hAnsi="Times New Roman"/>
                <w:color w:val="auto"/>
                <w:sz w:val="22"/>
                <w:szCs w:val="20"/>
              </w:rPr>
              <w:t>Consultation closed on EBA’s draft Guidelines on remuneration requirements for retail banking sales staff - no timeline yet for final Guidelines.</w:t>
            </w:r>
          </w:p>
        </w:tc>
      </w:tr>
      <w:tr w:rsidR="00A445AD" w:rsidRPr="00330937" w:rsidTr="0033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pStyle w:val="Default"/>
              <w:spacing w:before="120" w:after="120"/>
              <w:rPr>
                <w:rFonts w:ascii="Times New Roman" w:hAnsi="Times New Roman"/>
                <w:color w:val="auto"/>
                <w:sz w:val="22"/>
              </w:rPr>
            </w:pPr>
            <w:r w:rsidRPr="00330937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30 March 2016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>EBA published report on high earners and effect of the bonus cap.</w:t>
            </w:r>
          </w:p>
        </w:tc>
      </w:tr>
      <w:tr w:rsidR="00A445AD" w:rsidRPr="00330937" w:rsidTr="0033093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 xml:space="preserve">13 April 2016 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>Closing date for comments on PRA proposals to regulate bonus buy-out awards. </w:t>
            </w:r>
          </w:p>
        </w:tc>
      </w:tr>
      <w:tr w:rsidR="00A445AD" w:rsidRPr="00330937" w:rsidTr="0033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330937" w:rsidP="00330937">
            <w:pPr>
              <w:spacing w:before="120" w:after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 June 2016</w:t>
            </w:r>
            <w:r w:rsidR="00A445AD" w:rsidRPr="0033093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>Referendum on Britain’s future membership of the EU.</w:t>
            </w:r>
          </w:p>
        </w:tc>
      </w:tr>
      <w:tr w:rsidR="00A445AD" w:rsidRPr="00330937" w:rsidTr="00330937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A445AD" w:rsidP="00330937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 xml:space="preserve">By 30 June 2016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>European Commission to report on impact and efficiency of CRD IV remuneration rules</w:t>
            </w:r>
            <w:r w:rsidR="008771FD" w:rsidRPr="00330937">
              <w:rPr>
                <w:rFonts w:ascii="Times New Roman" w:hAnsi="Times New Roman"/>
                <w:szCs w:val="20"/>
              </w:rPr>
              <w:t xml:space="preserve"> and on application of proportionality. </w:t>
            </w:r>
            <w:r w:rsidRPr="00330937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A445AD" w:rsidRPr="00330937" w:rsidTr="00330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  <w:vAlign w:val="center"/>
          </w:tcPr>
          <w:p w:rsidR="00A445AD" w:rsidRPr="00330937" w:rsidRDefault="005F6A33" w:rsidP="00330937">
            <w:pPr>
              <w:spacing w:before="120" w:after="1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From </w:t>
            </w:r>
            <w:r w:rsidR="00A445AD" w:rsidRPr="00330937">
              <w:rPr>
                <w:rFonts w:ascii="Times New Roman" w:hAnsi="Times New Roman"/>
                <w:szCs w:val="20"/>
              </w:rPr>
              <w:t xml:space="preserve">1 January 2017  </w:t>
            </w:r>
          </w:p>
        </w:tc>
        <w:tc>
          <w:tcPr>
            <w:tcW w:w="7502" w:type="dxa"/>
            <w:vAlign w:val="center"/>
          </w:tcPr>
          <w:p w:rsidR="00A445AD" w:rsidRPr="00330937" w:rsidRDefault="00A445AD" w:rsidP="003309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330937">
              <w:rPr>
                <w:rFonts w:ascii="Times New Roman" w:hAnsi="Times New Roman"/>
                <w:szCs w:val="20"/>
              </w:rPr>
              <w:t xml:space="preserve">EBA Guidelines on Sound Remuneration Policies to be applied by PRA/FCA and in-scope firms. </w:t>
            </w:r>
            <w:r w:rsidRPr="00330937">
              <w:rPr>
                <w:rFonts w:ascii="Times New Roman" w:hAnsi="Times New Roman"/>
                <w:bCs/>
                <w:szCs w:val="20"/>
              </w:rPr>
              <w:t>Click</w:t>
            </w:r>
            <w:r w:rsidRPr="00330937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hyperlink r:id="rId14" w:history="1">
              <w:r w:rsidRPr="00330937">
                <w:rPr>
                  <w:rStyle w:val="Hyperlink"/>
                  <w:rFonts w:ascii="Times New Roman" w:hAnsi="Times New Roman"/>
                  <w:b/>
                  <w:bCs/>
                  <w:szCs w:val="20"/>
                </w:rPr>
                <w:t>here</w:t>
              </w:r>
            </w:hyperlink>
            <w:r w:rsidRPr="00330937">
              <w:rPr>
                <w:rFonts w:ascii="Times New Roman" w:hAnsi="Times New Roman"/>
                <w:szCs w:val="20"/>
              </w:rPr>
              <w:t xml:space="preserve"> for our </w:t>
            </w:r>
            <w:proofErr w:type="spellStart"/>
            <w:r w:rsidRPr="00330937">
              <w:rPr>
                <w:rFonts w:ascii="Times New Roman" w:hAnsi="Times New Roman"/>
                <w:szCs w:val="20"/>
              </w:rPr>
              <w:t>eAlert</w:t>
            </w:r>
            <w:proofErr w:type="spellEnd"/>
            <w:r w:rsidRPr="00330937">
              <w:rPr>
                <w:rFonts w:ascii="Times New Roman" w:hAnsi="Times New Roman"/>
                <w:szCs w:val="20"/>
              </w:rPr>
              <w:t xml:space="preserve"> on the headline issues.</w:t>
            </w:r>
          </w:p>
        </w:tc>
      </w:tr>
    </w:tbl>
    <w:p w:rsidR="001E79DF" w:rsidRPr="00AB1EE3" w:rsidRDefault="001E79DF" w:rsidP="00A445AD">
      <w:pPr>
        <w:pStyle w:val="AODocTxt"/>
      </w:pPr>
    </w:p>
    <w:sectPr w:rsidR="001E79DF" w:rsidRPr="00AB1EE3" w:rsidSect="00AB1E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E3" w:rsidRPr="00920631" w:rsidRDefault="00AB1EE3" w:rsidP="001E7139">
      <w:r w:rsidRPr="00920631">
        <w:separator/>
      </w:r>
    </w:p>
  </w:endnote>
  <w:endnote w:type="continuationSeparator" w:id="0">
    <w:p w:rsidR="00AB1EE3" w:rsidRPr="00920631" w:rsidRDefault="00AB1EE3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CB" w:rsidRDefault="00700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E" w:rsidRPr="00920631" w:rsidRDefault="002E0559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5D5CB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2E0559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AB1EE3">
            <w:t xml:space="preserve"> </w:t>
          </w:r>
          <w:r>
            <w:fldChar w:fldCharType="end"/>
          </w:r>
        </w:p>
      </w:tc>
    </w:tr>
    <w:tr w:rsidR="005D5CB3" w:rsidTr="005D5CB3">
      <w:tc>
        <w:tcPr>
          <w:tcW w:w="1666" w:type="pct"/>
        </w:tcPr>
        <w:p w:rsidR="005D5CB3" w:rsidRDefault="002E0559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AB1EE3">
            <w:t xml:space="preserve"> 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R"/>
          </w:pPr>
        </w:p>
      </w:tc>
    </w:tr>
  </w:tbl>
  <w:p w:rsidR="005D5CB3" w:rsidRDefault="005D5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E3" w:rsidRPr="00920631" w:rsidRDefault="00AB1EE3" w:rsidP="001E7139">
      <w:r w:rsidRPr="00920631">
        <w:separator/>
      </w:r>
    </w:p>
  </w:footnote>
  <w:footnote w:type="continuationSeparator" w:id="0">
    <w:p w:rsidR="00AB1EE3" w:rsidRPr="00920631" w:rsidRDefault="00AB1EE3" w:rsidP="001E7139">
      <w:r w:rsidRPr="009206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CB" w:rsidRDefault="0070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E" w:rsidRPr="00920631" w:rsidRDefault="00B46FA0" w:rsidP="0061772E">
    <w:pPr>
      <w:pStyle w:val="AONormal8L"/>
    </w:pPr>
    <w:r>
      <w:rPr>
        <w:rFonts w:cs="Helvetica"/>
        <w:noProof/>
        <w:color w:val="016295"/>
        <w:lang w:eastAsia="en-GB"/>
      </w:rPr>
      <w:drawing>
        <wp:inline distT="0" distB="0" distL="0" distR="0" wp14:anchorId="1BE021EB" wp14:editId="648FD937">
          <wp:extent cx="4343400" cy="923925"/>
          <wp:effectExtent l="0" t="0" r="0" b="9525"/>
          <wp:docPr id="1" name="Picture 1" descr="Employment Talk">
            <a:hlinkClick xmlns:a="http://schemas.openxmlformats.org/drawingml/2006/main" r:id="rId1" tooltip="&quot;Back to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loyment Talk">
                    <a:hlinkClick r:id="rId1" tooltip="&quot;Back to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5D5CB3" w:rsidTr="005D5CB3">
      <w:tc>
        <w:tcPr>
          <w:tcW w:w="9854" w:type="dxa"/>
        </w:tcPr>
        <w:bookmarkStart w:id="1" w:name="bmkHeaderPrimaryDoc"/>
        <w:p w:rsidR="005D5CB3" w:rsidRDefault="005D5CB3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AB1EE3">
            <w:t xml:space="preserve"> </w:t>
          </w:r>
          <w:r>
            <w:fldChar w:fldCharType="end"/>
          </w:r>
        </w:p>
      </w:tc>
    </w:tr>
    <w:bookmarkEnd w:id="1"/>
  </w:tbl>
  <w:p w:rsidR="005D5CB3" w:rsidRDefault="005D5CB3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E7"/>
    <w:multiLevelType w:val="multilevel"/>
    <w:tmpl w:val="02827A94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FA6DE9"/>
    <w:multiLevelType w:val="singleLevel"/>
    <w:tmpl w:val="7B340FAA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>
    <w:nsid w:val="391D542D"/>
    <w:multiLevelType w:val="multilevel"/>
    <w:tmpl w:val="CEA2CDB4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0E7D39"/>
    <w:multiLevelType w:val="multilevel"/>
    <w:tmpl w:val="B03C890A"/>
    <w:name w:val="AOSch"/>
    <w:lvl w:ilvl="0">
      <w:start w:val="1"/>
      <w:numFmt w:val="decimal"/>
      <w:lvlRestart w:val="0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E29759A"/>
    <w:multiLevelType w:val="multilevel"/>
    <w:tmpl w:val="E092EC9E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41F230E7"/>
    <w:multiLevelType w:val="singleLevel"/>
    <w:tmpl w:val="DC820D2A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>
    <w:nsid w:val="49C66851"/>
    <w:multiLevelType w:val="multilevel"/>
    <w:tmpl w:val="FE385F70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11C70D7"/>
    <w:multiLevelType w:val="multilevel"/>
    <w:tmpl w:val="4E2EC262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62830D10"/>
    <w:multiLevelType w:val="multilevel"/>
    <w:tmpl w:val="FB3E2BC8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AA227D0"/>
    <w:multiLevelType w:val="multilevel"/>
    <w:tmpl w:val="6172C5CA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6F025FAA"/>
    <w:multiLevelType w:val="multilevel"/>
    <w:tmpl w:val="1870E8F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>
    <w:nsid w:val="6F8D3D7A"/>
    <w:multiLevelType w:val="singleLevel"/>
    <w:tmpl w:val="C4E419E8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761544F7"/>
    <w:multiLevelType w:val="multilevel"/>
    <w:tmpl w:val="4B682484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E3"/>
    <w:rsid w:val="00035DF9"/>
    <w:rsid w:val="000520A8"/>
    <w:rsid w:val="00083181"/>
    <w:rsid w:val="000D0702"/>
    <w:rsid w:val="00122086"/>
    <w:rsid w:val="001837F3"/>
    <w:rsid w:val="001E7139"/>
    <w:rsid w:val="001E79DF"/>
    <w:rsid w:val="00207F8C"/>
    <w:rsid w:val="00244F4C"/>
    <w:rsid w:val="00251D49"/>
    <w:rsid w:val="00251EF2"/>
    <w:rsid w:val="002A01D2"/>
    <w:rsid w:val="002E0559"/>
    <w:rsid w:val="002E0DDE"/>
    <w:rsid w:val="00330937"/>
    <w:rsid w:val="00375A6D"/>
    <w:rsid w:val="003813A3"/>
    <w:rsid w:val="00432A6C"/>
    <w:rsid w:val="00440C96"/>
    <w:rsid w:val="0045533C"/>
    <w:rsid w:val="00456FED"/>
    <w:rsid w:val="00463113"/>
    <w:rsid w:val="0047162F"/>
    <w:rsid w:val="004A6489"/>
    <w:rsid w:val="004B39A3"/>
    <w:rsid w:val="004C587E"/>
    <w:rsid w:val="005C595A"/>
    <w:rsid w:val="005D16AE"/>
    <w:rsid w:val="005D5CB3"/>
    <w:rsid w:val="005E5E8C"/>
    <w:rsid w:val="005F6A33"/>
    <w:rsid w:val="00624BE1"/>
    <w:rsid w:val="00630AD0"/>
    <w:rsid w:val="0068599B"/>
    <w:rsid w:val="006A5AA0"/>
    <w:rsid w:val="006C6D54"/>
    <w:rsid w:val="006F4DD9"/>
    <w:rsid w:val="007003CB"/>
    <w:rsid w:val="00730573"/>
    <w:rsid w:val="007C63AF"/>
    <w:rsid w:val="007D75EC"/>
    <w:rsid w:val="00822A1E"/>
    <w:rsid w:val="008771FD"/>
    <w:rsid w:val="008C14D4"/>
    <w:rsid w:val="008E0A09"/>
    <w:rsid w:val="008F68D8"/>
    <w:rsid w:val="00920631"/>
    <w:rsid w:val="00960F52"/>
    <w:rsid w:val="009D20EB"/>
    <w:rsid w:val="009E0C49"/>
    <w:rsid w:val="00A279B2"/>
    <w:rsid w:val="00A445AD"/>
    <w:rsid w:val="00A76A73"/>
    <w:rsid w:val="00AB1180"/>
    <w:rsid w:val="00AB1EE3"/>
    <w:rsid w:val="00B1321E"/>
    <w:rsid w:val="00B15851"/>
    <w:rsid w:val="00B46FA0"/>
    <w:rsid w:val="00BA6B05"/>
    <w:rsid w:val="00BB07C3"/>
    <w:rsid w:val="00BB7754"/>
    <w:rsid w:val="00BC0964"/>
    <w:rsid w:val="00BE2502"/>
    <w:rsid w:val="00BF1C21"/>
    <w:rsid w:val="00C2524B"/>
    <w:rsid w:val="00C27C6D"/>
    <w:rsid w:val="00C46506"/>
    <w:rsid w:val="00CA2C1F"/>
    <w:rsid w:val="00CA6867"/>
    <w:rsid w:val="00CC19DE"/>
    <w:rsid w:val="00D03DDB"/>
    <w:rsid w:val="00D60A12"/>
    <w:rsid w:val="00D836DC"/>
    <w:rsid w:val="00E05622"/>
    <w:rsid w:val="00E17B23"/>
    <w:rsid w:val="00E30C20"/>
    <w:rsid w:val="00E72D84"/>
    <w:rsid w:val="00E81B74"/>
    <w:rsid w:val="00E904EB"/>
    <w:rsid w:val="00E9172D"/>
    <w:rsid w:val="00EA5A2B"/>
    <w:rsid w:val="00ED1E76"/>
    <w:rsid w:val="00EF1683"/>
    <w:rsid w:val="00F01CD0"/>
    <w:rsid w:val="00F53B14"/>
    <w:rsid w:val="00F553A4"/>
    <w:rsid w:val="00F647A7"/>
    <w:rsid w:val="00F70721"/>
    <w:rsid w:val="00F93ECA"/>
    <w:rsid w:val="00FD4C5E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AD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eastAsia="Times New Roman" w:hAnsi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eastAsia="Times New Roman" w:hAnsi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A445AD"/>
    <w:pPr>
      <w:autoSpaceDE w:val="0"/>
      <w:autoSpaceDN w:val="0"/>
    </w:pPr>
    <w:rPr>
      <w:color w:val="000000"/>
      <w:sz w:val="24"/>
      <w:szCs w:val="24"/>
      <w:lang w:eastAsia="en-GB"/>
    </w:rPr>
  </w:style>
  <w:style w:type="table" w:styleId="MediumShading2-Accent1">
    <w:name w:val="Medium Shading 2 Accent 1"/>
    <w:basedOn w:val="TableNormal"/>
    <w:uiPriority w:val="64"/>
    <w:rsid w:val="003309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3093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30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AD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  <w:rPr>
      <w:rFonts w:ascii="Times New Roman" w:eastAsiaTheme="minorHAnsi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ascii="Times New Roman" w:eastAsia="Times New Roman" w:hAnsi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ascii="Times New Roman" w:eastAsia="Times New Roman" w:hAnsi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A445AD"/>
    <w:pPr>
      <w:autoSpaceDE w:val="0"/>
      <w:autoSpaceDN w:val="0"/>
    </w:pPr>
    <w:rPr>
      <w:color w:val="000000"/>
      <w:sz w:val="24"/>
      <w:szCs w:val="24"/>
      <w:lang w:eastAsia="en-GB"/>
    </w:rPr>
  </w:style>
  <w:style w:type="table" w:styleId="MediumShading2-Accent1">
    <w:name w:val="Medium Shading 2 Accent 1"/>
    <w:basedOn w:val="TableNormal"/>
    <w:uiPriority w:val="64"/>
    <w:rsid w:val="003309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3093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30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oemploymenttalk.com/financial-sector-regulation/senior-managers-certification-regim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ohub.com/aoos/dispatchContent.action?key=BcJlhLtdCv6%2FJTDZxvL23TQa3JHL2AIGr93BnQjo2SkGJpG9xDX7S2thDpAQsCconWHAwe6cJTkS%0D%0AX9w0jYB3kLm05uT0pKM6&amp;nav=FRbANEucS95NMLRN47z%2BeeOgEFCt8EGQTBTrTXtG0BY%3D&amp;uid=JAI3emRuMU4%3D&amp;emkey=g46tlASvCUvXfFTF80GCQ9AwkFRDCfyK4cqGUbSYeADdzoxprWhI6w%3D%3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aohub.com/aohub/publications/ebas-final-remuneration-guidelines-and-opinion-on-proportionality-headline-issues?nav=FRbANEucS95NMLRN47z%2BeeOgEFCt8EGQ71hKXzqW2Ec%3D&amp;key=BcJlhLtdCv6%2FJTDZxvL23TQa3JHL2AIGr93BnQjo2SkGJpG9xDX7S2thDpAQsCconWHAwe6cJTnJ%0D%0A7rHpBEuGGX%2FCqu0JfTr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aoemploymenttalk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6-04-04T09-15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AA9DC-C7F2-43E4-9E2C-667F9CBEA939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1E8505-CFD0-412E-BD4D-9244B536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0</TotalTime>
  <Pages>1</Pages>
  <Words>337</Words>
  <Characters>1737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>Allen &amp; Overy LLP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AODocument</dc:title>
  <dc:creator>Allen &amp; Overy</dc:creator>
  <cp:lastModifiedBy>Allen &amp; Overy</cp:lastModifiedBy>
  <cp:revision>2</cp:revision>
  <dcterms:created xsi:type="dcterms:W3CDTF">2016-04-04T09:01:00Z</dcterms:created>
  <dcterms:modified xsi:type="dcterms:W3CDTF">2016-04-04T09:01:00Z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0x0101008E1931B9D01341BF82A1BE848E2F0648000D63B21F009B944AA79D7724E168C8DD</vt:lpwstr>
  </property>
  <property fmtid="{D5CDD505-2E9C-101B-9397-08002B2CF9AE}" pid="3" name="DisplayName">
    <vt:lpwstr>Document</vt:lpwstr>
  </property>
  <property fmtid="{D5CDD505-2E9C-101B-9397-08002B2CF9AE}" pid="4" name="DMProfile">
    <vt:lpwstr>Document</vt:lpwstr>
  </property>
  <property fmtid="{D5CDD505-2E9C-101B-9397-08002B2CF9AE}" pid="5" name="FilePedigree">
    <vt:lpwstr>OSAX</vt:lpwstr>
  </property>
  <property fmtid="{D5CDD505-2E9C-101B-9397-08002B2CF9AE}" pid="6" name="TemplateFileName">
    <vt:lpwstr>AODocument.dotm</vt:lpwstr>
  </property>
  <property fmtid="{D5CDD505-2E9C-101B-9397-08002B2CF9AE}" pid="7" name="OSADocumentType">
    <vt:lpwstr>1</vt:lpwstr>
  </property>
  <property fmtid="{D5CDD505-2E9C-101B-9397-08002B2CF9AE}" pid="8" name="AuthorDescription">
    <vt:lpwstr>PSL Counsel</vt:lpwstr>
  </property>
  <property fmtid="{D5CDD505-2E9C-101B-9397-08002B2CF9AE}" pid="9" name="AuthorName">
    <vt:lpwstr>Sheila Fahy</vt:lpwstr>
  </property>
  <property fmtid="{D5CDD505-2E9C-101B-9397-08002B2CF9AE}" pid="10" name="AuthorInitials">
    <vt:lpwstr>SSHF</vt:lpwstr>
  </property>
  <property fmtid="{D5CDD505-2E9C-101B-9397-08002B2CF9AE}" pid="11" name="AuthorJobTitle">
    <vt:lpwstr>PSL Counsel</vt:lpwstr>
  </property>
  <property fmtid="{D5CDD505-2E9C-101B-9397-08002B2CF9AE}" pid="12" name="AuthorEmail">
    <vt:lpwstr>sheila.fahy@allenovery.com</vt:lpwstr>
  </property>
  <property fmtid="{D5CDD505-2E9C-101B-9397-08002B2CF9AE}" pid="13" name="AuthorDirectLine">
    <vt:lpwstr/>
  </property>
  <property fmtid="{D5CDD505-2E9C-101B-9397-08002B2CF9AE}" pid="14" name="AuthorMobilePhone">
    <vt:lpwstr/>
  </property>
  <property fmtid="{D5CDD505-2E9C-101B-9397-08002B2CF9AE}" pid="15" name="AuthorPersonalFax">
    <vt:lpwstr/>
  </property>
  <property fmtid="{D5CDD505-2E9C-101B-9397-08002B2CF9AE}" pid="16" name="OurRef">
    <vt:lpwstr>SSHF</vt:lpwstr>
  </property>
  <property fmtid="{D5CDD505-2E9C-101B-9397-08002B2CF9AE}" pid="17" name="LanguageID">
    <vt:lpwstr>English (UK)</vt:lpwstr>
  </property>
  <property fmtid="{D5CDD505-2E9C-101B-9397-08002B2CF9AE}" pid="18" name="OfficeID">
    <vt:lpwstr>London</vt:lpwstr>
  </property>
  <property fmtid="{D5CDD505-2E9C-101B-9397-08002B2CF9AE}" pid="19" name="TemplateName">
    <vt:lpwstr>AODocument.dotm</vt:lpwstr>
  </property>
  <property fmtid="{D5CDD505-2E9C-101B-9397-08002B2CF9AE}" pid="20" name="cpFooterText">
    <vt:lpwstr> </vt:lpwstr>
  </property>
  <property fmtid="{D5CDD505-2E9C-101B-9397-08002B2CF9AE}" pid="21" name="cpHeaderText">
    <vt:lpwstr> </vt:lpwstr>
  </property>
  <property fmtid="{D5CDD505-2E9C-101B-9397-08002B2CF9AE}" pid="22" name="Client">
    <vt:lpwstr>0098050</vt:lpwstr>
  </property>
  <property fmtid="{D5CDD505-2E9C-101B-9397-08002B2CF9AE}" pid="23" name="Matter">
    <vt:lpwstr>0000019</vt:lpwstr>
  </property>
  <property fmtid="{D5CDD505-2E9C-101B-9397-08002B2CF9AE}" pid="24" name="cpClientMatter">
    <vt:lpwstr>0098050-0000019</vt:lpwstr>
  </property>
  <property fmtid="{D5CDD505-2E9C-101B-9397-08002B2CF9AE}" pid="25" name="cpDocRef">
    <vt:lpwstr>LT:15368418.1</vt:lpwstr>
  </property>
  <property fmtid="{D5CDD505-2E9C-101B-9397-08002B2CF9AE}" pid="26" name="cpCombinedRef">
    <vt:lpwstr>0098050-0000019 LT:15368418.1</vt:lpwstr>
  </property>
</Properties>
</file>