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49" w:rsidRDefault="00C44849" w:rsidP="00C44849">
      <w:pPr>
        <w:pStyle w:val="AODocTxt"/>
      </w:pPr>
    </w:p>
    <w:p w:rsidR="00C44849" w:rsidRDefault="00C44849" w:rsidP="00C44849">
      <w:pPr>
        <w:pStyle w:val="AODocTxt"/>
      </w:pPr>
    </w:p>
    <w:p w:rsidR="00C44849" w:rsidRDefault="00C44849" w:rsidP="00C44849">
      <w:pPr>
        <w:rPr>
          <w:rFonts w:ascii="Arial" w:hAnsi="Arial" w:cs="Arial"/>
          <w:color w:val="B23427"/>
          <w:sz w:val="56"/>
          <w:szCs w:val="56"/>
        </w:rPr>
      </w:pPr>
      <w:r w:rsidRPr="00485417">
        <w:rPr>
          <w:rFonts w:ascii="Arial" w:hAnsi="Arial" w:cs="Arial"/>
          <w:noProof/>
          <w:color w:val="B23427"/>
          <w:sz w:val="56"/>
          <w:szCs w:val="56"/>
          <w:lang w:eastAsia="en-GB"/>
        </w:rPr>
        <w:drawing>
          <wp:anchor distT="0" distB="0" distL="114300" distR="114300" simplePos="0" relativeHeight="251659264" behindDoc="1" locked="0" layoutInCell="1" allowOverlap="1" wp14:anchorId="242AC9BA" wp14:editId="18899D98">
            <wp:simplePos x="0" y="0"/>
            <wp:positionH relativeFrom="column">
              <wp:posOffset>3648075</wp:posOffset>
            </wp:positionH>
            <wp:positionV relativeFrom="paragraph">
              <wp:posOffset>-57150</wp:posOffset>
            </wp:positionV>
            <wp:extent cx="2665730" cy="2419350"/>
            <wp:effectExtent l="0" t="0" r="1270" b="0"/>
            <wp:wrapSquare wrapText="bothSides"/>
            <wp:docPr id="1" name="Picture 1" descr="cid:image001.jpg@01CF4772.FE2A6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1.jpg@01CF4772.FE2A69B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66204"/>
                    <a:stretch/>
                  </pic:blipFill>
                  <pic:spPr bwMode="auto">
                    <a:xfrm>
                      <a:off x="0" y="0"/>
                      <a:ext cx="2665730" cy="2419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B23427"/>
          <w:sz w:val="56"/>
          <w:szCs w:val="56"/>
          <w:lang w:eastAsia="en-GB"/>
        </w:rPr>
        <w:drawing>
          <wp:inline distT="0" distB="0" distL="0" distR="0" wp14:anchorId="726F8C75" wp14:editId="3C6C6635">
            <wp:extent cx="3571875" cy="710507"/>
            <wp:effectExtent l="0" t="0" r="0" b="0"/>
            <wp:docPr id="2" name="Picture 2" descr="\\omnia.aoglobal.com\Europe\BL\Home\TumilsoP\My Documents\Pictures\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mnia.aoglobal.com\Europe\BL\Home\TumilsoP\My Documents\Pictures\1234.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4624"/>
                    <a:stretch/>
                  </pic:blipFill>
                  <pic:spPr bwMode="auto">
                    <a:xfrm>
                      <a:off x="0" y="0"/>
                      <a:ext cx="3571875" cy="710507"/>
                    </a:xfrm>
                    <a:prstGeom prst="rect">
                      <a:avLst/>
                    </a:prstGeom>
                    <a:noFill/>
                    <a:ln>
                      <a:noFill/>
                    </a:ln>
                    <a:extLst>
                      <a:ext uri="{53640926-AAD7-44D8-BBD7-CCE9431645EC}">
                        <a14:shadowObscured xmlns:a14="http://schemas.microsoft.com/office/drawing/2010/main"/>
                      </a:ext>
                    </a:extLst>
                  </pic:spPr>
                </pic:pic>
              </a:graphicData>
            </a:graphic>
          </wp:inline>
        </w:drawing>
      </w:r>
    </w:p>
    <w:p w:rsidR="00C44849" w:rsidRPr="000C53AA" w:rsidRDefault="00C44849" w:rsidP="00C44849">
      <w:pPr>
        <w:pStyle w:val="SubHeading2"/>
        <w:rPr>
          <w:color w:val="auto"/>
        </w:rPr>
      </w:pPr>
      <w:r>
        <w:rPr>
          <w:color w:val="auto"/>
        </w:rPr>
        <w:t>Key Regulatory Topics:</w:t>
      </w:r>
      <w:r w:rsidRPr="00243639">
        <w:rPr>
          <w:color w:val="auto"/>
        </w:rPr>
        <w:t xml:space="preserve"> Weekly Update</w:t>
      </w:r>
    </w:p>
    <w:p w:rsidR="00C44849" w:rsidRPr="006031DD" w:rsidRDefault="00004116" w:rsidP="00C44849">
      <w:pPr>
        <w:pStyle w:val="SubHeading2"/>
        <w:rPr>
          <w:color w:val="auto"/>
        </w:rPr>
      </w:pPr>
      <w:r>
        <w:rPr>
          <w:color w:val="auto"/>
          <w:sz w:val="22"/>
          <w:szCs w:val="22"/>
        </w:rPr>
        <w:t>22 November 2019 – 28</w:t>
      </w:r>
      <w:r w:rsidR="00965776">
        <w:rPr>
          <w:color w:val="auto"/>
          <w:sz w:val="22"/>
          <w:szCs w:val="22"/>
        </w:rPr>
        <w:t xml:space="preserve"> </w:t>
      </w:r>
      <w:r>
        <w:rPr>
          <w:color w:val="auto"/>
          <w:sz w:val="22"/>
          <w:szCs w:val="22"/>
        </w:rPr>
        <w:t>November</w:t>
      </w:r>
      <w:r w:rsidR="00C44849">
        <w:rPr>
          <w:color w:val="auto"/>
          <w:sz w:val="22"/>
          <w:szCs w:val="22"/>
        </w:rPr>
        <w:t xml:space="preserve"> 2019</w:t>
      </w:r>
    </w:p>
    <w:p w:rsidR="00C44849" w:rsidRDefault="00C44849" w:rsidP="00C44849">
      <w:pPr>
        <w:rPr>
          <w:rFonts w:ascii="Arial" w:eastAsia="SimSun" w:hAnsi="Arial" w:cs="Arial"/>
          <w:b/>
          <w:bCs/>
          <w:color w:val="800000"/>
          <w:sz w:val="20"/>
          <w:lang w:eastAsia="zh-CN"/>
        </w:rPr>
      </w:pPr>
    </w:p>
    <w:p w:rsidR="00855C21" w:rsidRDefault="00855C21" w:rsidP="00965776">
      <w:pPr>
        <w:rPr>
          <w:rFonts w:ascii="Arial" w:eastAsia="SimSun" w:hAnsi="Arial" w:cs="Arial"/>
          <w:b/>
          <w:bCs/>
          <w:color w:val="800000"/>
          <w:sz w:val="20"/>
          <w:lang w:eastAsia="zh-CN"/>
        </w:rPr>
      </w:pPr>
    </w:p>
    <w:p w:rsidR="00E67184" w:rsidRDefault="00E67184" w:rsidP="00965776">
      <w:pPr>
        <w:rPr>
          <w:rFonts w:ascii="Arial" w:eastAsia="SimSun" w:hAnsi="Arial" w:cs="Arial"/>
          <w:b/>
          <w:bCs/>
          <w:color w:val="800000"/>
          <w:sz w:val="20"/>
          <w:lang w:eastAsia="zh-CN"/>
        </w:rPr>
      </w:pPr>
    </w:p>
    <w:p w:rsidR="00965776" w:rsidRPr="00DA297D" w:rsidRDefault="00DA297D" w:rsidP="00965776">
      <w:pPr>
        <w:rPr>
          <w:rFonts w:ascii="Arial" w:eastAsia="SimSun" w:hAnsi="Arial" w:cs="Arial"/>
          <w:b/>
          <w:bCs/>
          <w:color w:val="800000"/>
          <w:sz w:val="20"/>
          <w:lang w:eastAsia="zh-CN"/>
        </w:rPr>
      </w:pPr>
      <w:r w:rsidRPr="00DA297D">
        <w:rPr>
          <w:rFonts w:ascii="Arial" w:eastAsia="SimSun" w:hAnsi="Arial" w:cs="Arial"/>
          <w:b/>
          <w:bCs/>
          <w:color w:val="800000"/>
          <w:sz w:val="20"/>
          <w:lang w:eastAsia="zh-CN"/>
        </w:rPr>
        <w:t>CONDUCT</w:t>
      </w:r>
    </w:p>
    <w:p w:rsidR="00DA297D" w:rsidRDefault="00DA297D" w:rsidP="00965776">
      <w:pPr>
        <w:rPr>
          <w:rFonts w:ascii="Arial" w:eastAsia="SimSun" w:hAnsi="Arial" w:cs="Arial"/>
          <w:b/>
          <w:bCs/>
          <w:sz w:val="20"/>
          <w:lang w:eastAsia="zh-CN"/>
        </w:rPr>
      </w:pPr>
    </w:p>
    <w:p w:rsidR="006C0C34" w:rsidRPr="006C0C34" w:rsidRDefault="006C0C34" w:rsidP="006C0C34">
      <w:pPr>
        <w:rPr>
          <w:rFonts w:ascii="Arial" w:eastAsia="SimSun" w:hAnsi="Arial" w:cs="Arial"/>
          <w:b/>
          <w:bCs/>
          <w:sz w:val="20"/>
          <w:lang w:eastAsia="zh-CN"/>
        </w:rPr>
      </w:pPr>
      <w:r>
        <w:rPr>
          <w:rFonts w:ascii="Arial" w:eastAsia="SimSun" w:hAnsi="Arial" w:cs="Arial"/>
          <w:b/>
          <w:bCs/>
          <w:sz w:val="20"/>
          <w:lang w:eastAsia="zh-CN"/>
        </w:rPr>
        <w:t xml:space="preserve">FCA guidance on approving financial promotions </w:t>
      </w:r>
    </w:p>
    <w:p w:rsidR="000139EF" w:rsidRPr="000139EF" w:rsidRDefault="006C0C34" w:rsidP="000139EF">
      <w:pPr>
        <w:rPr>
          <w:rFonts w:ascii="Arial" w:eastAsia="SimSun" w:hAnsi="Arial" w:cs="Arial"/>
          <w:bCs/>
          <w:sz w:val="20"/>
          <w:lang w:eastAsia="zh-CN"/>
        </w:rPr>
      </w:pPr>
      <w:r w:rsidRPr="006C0C34">
        <w:rPr>
          <w:rFonts w:ascii="Arial" w:eastAsia="SimSun" w:hAnsi="Arial" w:cs="Arial"/>
          <w:bCs/>
          <w:sz w:val="20"/>
          <w:lang w:eastAsia="zh-CN"/>
        </w:rPr>
        <w:t>On 26 November</w:t>
      </w:r>
      <w:r>
        <w:rPr>
          <w:rFonts w:ascii="Arial" w:eastAsia="SimSun" w:hAnsi="Arial" w:cs="Arial"/>
          <w:bCs/>
          <w:sz w:val="20"/>
          <w:lang w:eastAsia="zh-CN"/>
        </w:rPr>
        <w:t xml:space="preserve">, the FCA published </w:t>
      </w:r>
      <w:r w:rsidRPr="006C0C34">
        <w:rPr>
          <w:rFonts w:ascii="Arial" w:eastAsia="SimSun" w:hAnsi="Arial" w:cs="Arial"/>
          <w:bCs/>
          <w:sz w:val="20"/>
          <w:lang w:eastAsia="zh-CN"/>
        </w:rPr>
        <w:t xml:space="preserve">guidance </w:t>
      </w:r>
      <w:r>
        <w:rPr>
          <w:rFonts w:ascii="Arial" w:eastAsia="SimSun" w:hAnsi="Arial" w:cs="Arial"/>
          <w:bCs/>
          <w:sz w:val="20"/>
          <w:lang w:eastAsia="zh-CN"/>
        </w:rPr>
        <w:t xml:space="preserve">on </w:t>
      </w:r>
      <w:r w:rsidRPr="006C0C34">
        <w:rPr>
          <w:rFonts w:ascii="Arial" w:eastAsia="SimSun" w:hAnsi="Arial" w:cs="Arial"/>
          <w:bCs/>
          <w:sz w:val="20"/>
          <w:lang w:eastAsia="zh-CN"/>
        </w:rPr>
        <w:t>approving financial promoti</w:t>
      </w:r>
      <w:r w:rsidR="00027983">
        <w:rPr>
          <w:rFonts w:ascii="Arial" w:eastAsia="SimSun" w:hAnsi="Arial" w:cs="Arial"/>
          <w:bCs/>
          <w:sz w:val="20"/>
          <w:lang w:eastAsia="zh-CN"/>
        </w:rPr>
        <w:t>ons for unauthorised persons. The guidance</w:t>
      </w:r>
      <w:r w:rsidRPr="006C0C34">
        <w:rPr>
          <w:rFonts w:ascii="Arial" w:eastAsia="SimSun" w:hAnsi="Arial" w:cs="Arial"/>
          <w:bCs/>
          <w:sz w:val="20"/>
          <w:lang w:eastAsia="zh-CN"/>
        </w:rPr>
        <w:t xml:space="preserve"> set</w:t>
      </w:r>
      <w:r w:rsidR="00027983">
        <w:rPr>
          <w:rFonts w:ascii="Arial" w:eastAsia="SimSun" w:hAnsi="Arial" w:cs="Arial"/>
          <w:bCs/>
          <w:sz w:val="20"/>
          <w:lang w:eastAsia="zh-CN"/>
        </w:rPr>
        <w:t>s</w:t>
      </w:r>
      <w:r w:rsidRPr="006C0C34">
        <w:rPr>
          <w:rFonts w:ascii="Arial" w:eastAsia="SimSun" w:hAnsi="Arial" w:cs="Arial"/>
          <w:bCs/>
          <w:sz w:val="20"/>
          <w:lang w:eastAsia="zh-CN"/>
        </w:rPr>
        <w:t xml:space="preserve"> out some practical implications of the FCA's existing requirements relatin</w:t>
      </w:r>
      <w:r w:rsidR="00027983">
        <w:rPr>
          <w:rFonts w:ascii="Arial" w:eastAsia="SimSun" w:hAnsi="Arial" w:cs="Arial"/>
          <w:bCs/>
          <w:sz w:val="20"/>
          <w:lang w:eastAsia="zh-CN"/>
        </w:rPr>
        <w:t xml:space="preserve">g to financial promotions, rather than setting out new standards. </w:t>
      </w:r>
      <w:r w:rsidRPr="006C0C34">
        <w:rPr>
          <w:rFonts w:ascii="Arial" w:eastAsia="SimSun" w:hAnsi="Arial" w:cs="Arial"/>
          <w:bCs/>
          <w:sz w:val="20"/>
          <w:lang w:eastAsia="zh-CN"/>
        </w:rPr>
        <w:t>When approving a financial promotion, a firm must confirm that it complies with all applicable financial promotion rules and in particular, whether the promotion is fair, clear and not misleading. It is for the firm to determine itself on a case by case basis whether this requirement is met and the extent of the analysis required to confirm that the financial promotion</w:t>
      </w:r>
      <w:r w:rsidR="00027983">
        <w:rPr>
          <w:rFonts w:ascii="Arial" w:eastAsia="SimSun" w:hAnsi="Arial" w:cs="Arial"/>
          <w:bCs/>
          <w:sz w:val="20"/>
          <w:lang w:eastAsia="zh-CN"/>
        </w:rPr>
        <w:t xml:space="preserve"> complies with the FCA’s rules. </w:t>
      </w:r>
      <w:r w:rsidR="000139EF" w:rsidRPr="000139EF">
        <w:rPr>
          <w:rFonts w:ascii="Arial" w:eastAsia="SimSun" w:hAnsi="Arial" w:cs="Arial"/>
          <w:bCs/>
          <w:sz w:val="20"/>
          <w:lang w:eastAsia="zh-CN"/>
        </w:rPr>
        <w:t>A firm's systems and controls should ensure it does not approve financial promotions that it lacks the competence to properly review and consider.</w:t>
      </w:r>
      <w:r w:rsidR="000139EF">
        <w:rPr>
          <w:rFonts w:ascii="Arial" w:eastAsia="SimSun" w:hAnsi="Arial" w:cs="Arial"/>
          <w:bCs/>
          <w:sz w:val="20"/>
          <w:lang w:eastAsia="zh-CN"/>
        </w:rPr>
        <w:t xml:space="preserve"> </w:t>
      </w:r>
      <w:r w:rsidR="000139EF" w:rsidRPr="000139EF">
        <w:rPr>
          <w:rFonts w:ascii="Arial" w:eastAsia="SimSun" w:hAnsi="Arial" w:cs="Arial"/>
          <w:bCs/>
          <w:sz w:val="20"/>
          <w:lang w:eastAsia="zh-CN"/>
        </w:rPr>
        <w:t>If a firm intends to begin approving the financial promotions of unauthorised persons, it needs to consider whether this is something it should tell the FCA about in accordance with Principle 11 (Relations with regulators) of the Principles for Businesses</w:t>
      </w:r>
      <w:r w:rsidR="000139EF">
        <w:rPr>
          <w:rFonts w:ascii="Arial" w:eastAsia="SimSun" w:hAnsi="Arial" w:cs="Arial"/>
          <w:bCs/>
          <w:sz w:val="20"/>
          <w:lang w:eastAsia="zh-CN"/>
        </w:rPr>
        <w:t>.</w:t>
      </w:r>
    </w:p>
    <w:p w:rsidR="006C0C34" w:rsidRPr="006C0C34" w:rsidRDefault="00AE3A4B" w:rsidP="006C0C34">
      <w:pPr>
        <w:rPr>
          <w:rFonts w:ascii="Arial" w:eastAsia="SimSun" w:hAnsi="Arial" w:cs="Arial"/>
          <w:bCs/>
          <w:sz w:val="20"/>
          <w:lang w:eastAsia="zh-CN"/>
        </w:rPr>
      </w:pPr>
      <w:hyperlink r:id="rId14" w:history="1">
        <w:r w:rsidR="006C0C34" w:rsidRPr="006C0C34">
          <w:rPr>
            <w:rStyle w:val="Hyperlink"/>
            <w:rFonts w:ascii="Arial" w:eastAsia="SimSun" w:hAnsi="Arial" w:cs="Arial"/>
            <w:bCs/>
            <w:sz w:val="20"/>
            <w:lang w:eastAsia="zh-CN"/>
          </w:rPr>
          <w:t>Read More</w:t>
        </w:r>
      </w:hyperlink>
      <w:r w:rsidR="006C0C34" w:rsidRPr="006C0C34">
        <w:rPr>
          <w:rFonts w:ascii="Arial" w:eastAsia="SimSun" w:hAnsi="Arial" w:cs="Arial"/>
          <w:bCs/>
          <w:sz w:val="20"/>
          <w:lang w:eastAsia="zh-CN"/>
        </w:rPr>
        <w:t xml:space="preserve">. </w:t>
      </w:r>
    </w:p>
    <w:p w:rsidR="00DB2117" w:rsidRDefault="00DB2117" w:rsidP="00965776">
      <w:pPr>
        <w:rPr>
          <w:rFonts w:ascii="Arial" w:eastAsia="SimSun" w:hAnsi="Arial" w:cs="Arial"/>
          <w:bCs/>
          <w:sz w:val="20"/>
          <w:lang w:eastAsia="zh-CN"/>
        </w:rPr>
      </w:pPr>
    </w:p>
    <w:p w:rsidR="00DB2117" w:rsidRPr="00DB2117" w:rsidRDefault="00DB2117" w:rsidP="00965776">
      <w:pPr>
        <w:rPr>
          <w:rFonts w:ascii="Arial" w:eastAsia="SimSun" w:hAnsi="Arial" w:cs="Arial"/>
          <w:b/>
          <w:bCs/>
          <w:color w:val="800000"/>
          <w:sz w:val="20"/>
          <w:lang w:eastAsia="zh-CN"/>
        </w:rPr>
      </w:pPr>
      <w:r w:rsidRPr="00DB2117">
        <w:rPr>
          <w:rFonts w:ascii="Arial" w:eastAsia="SimSun" w:hAnsi="Arial" w:cs="Arial"/>
          <w:b/>
          <w:bCs/>
          <w:color w:val="800000"/>
          <w:sz w:val="20"/>
          <w:lang w:eastAsia="zh-CN"/>
        </w:rPr>
        <w:t>CONSUMER/RETAIL</w:t>
      </w:r>
    </w:p>
    <w:p w:rsidR="00DB2117" w:rsidRDefault="00DB2117" w:rsidP="00965776">
      <w:pPr>
        <w:rPr>
          <w:rFonts w:ascii="Arial" w:eastAsia="SimSun" w:hAnsi="Arial" w:cs="Arial"/>
          <w:bCs/>
          <w:sz w:val="20"/>
          <w:lang w:eastAsia="zh-CN"/>
        </w:rPr>
      </w:pPr>
    </w:p>
    <w:p w:rsidR="00DB2117" w:rsidRPr="00DB2117" w:rsidRDefault="00DB2117" w:rsidP="00DB2117">
      <w:pPr>
        <w:rPr>
          <w:rFonts w:ascii="Arial" w:eastAsia="SimSun" w:hAnsi="Arial" w:cs="Arial"/>
          <w:b/>
          <w:bCs/>
          <w:sz w:val="20"/>
          <w:lang w:eastAsia="zh-CN"/>
        </w:rPr>
      </w:pPr>
      <w:r w:rsidRPr="00DB2117">
        <w:rPr>
          <w:rFonts w:ascii="Arial" w:eastAsia="SimSun" w:hAnsi="Arial" w:cs="Arial"/>
          <w:b/>
          <w:bCs/>
          <w:sz w:val="20"/>
          <w:lang w:eastAsia="zh-CN"/>
        </w:rPr>
        <w:t xml:space="preserve">FCA </w:t>
      </w:r>
      <w:r w:rsidR="007D59D4">
        <w:rPr>
          <w:rFonts w:ascii="Arial" w:eastAsia="SimSun" w:hAnsi="Arial" w:cs="Arial"/>
          <w:b/>
          <w:bCs/>
          <w:sz w:val="20"/>
          <w:lang w:eastAsia="zh-CN"/>
        </w:rPr>
        <w:t xml:space="preserve">paper on </w:t>
      </w:r>
      <w:r w:rsidRPr="00DB2117">
        <w:rPr>
          <w:rFonts w:ascii="Arial" w:eastAsia="SimSun" w:hAnsi="Arial" w:cs="Arial"/>
          <w:b/>
          <w:bCs/>
          <w:sz w:val="20"/>
          <w:lang w:eastAsia="zh-CN"/>
        </w:rPr>
        <w:t>temporary intervention on marketing of speculative mini-bonds to retail investors</w:t>
      </w:r>
    </w:p>
    <w:p w:rsidR="00DB4ACB" w:rsidRPr="00DB4ACB" w:rsidRDefault="00DB2117" w:rsidP="00DB4ACB">
      <w:pPr>
        <w:rPr>
          <w:rFonts w:ascii="Arial" w:eastAsia="SimSun" w:hAnsi="Arial" w:cs="Arial"/>
          <w:bCs/>
          <w:sz w:val="20"/>
          <w:lang w:eastAsia="zh-CN"/>
        </w:rPr>
      </w:pPr>
      <w:r w:rsidRPr="00DB2117">
        <w:rPr>
          <w:rFonts w:ascii="Arial" w:eastAsia="SimSun" w:hAnsi="Arial" w:cs="Arial"/>
          <w:bCs/>
          <w:sz w:val="20"/>
          <w:lang w:eastAsia="zh-CN"/>
        </w:rPr>
        <w:t>On 26 November</w:t>
      </w:r>
      <w:r w:rsidR="007D59D4">
        <w:rPr>
          <w:rFonts w:ascii="Arial" w:eastAsia="SimSun" w:hAnsi="Arial" w:cs="Arial"/>
          <w:bCs/>
          <w:sz w:val="20"/>
          <w:lang w:eastAsia="zh-CN"/>
        </w:rPr>
        <w:t>, the FCA published a paper</w:t>
      </w:r>
      <w:r w:rsidRPr="00DB2117">
        <w:rPr>
          <w:rFonts w:ascii="Arial" w:eastAsia="SimSun" w:hAnsi="Arial" w:cs="Arial"/>
          <w:bCs/>
          <w:sz w:val="20"/>
          <w:lang w:eastAsia="zh-CN"/>
        </w:rPr>
        <w:t xml:space="preserve"> on a temporary intervention to prohibit the marketing of speculative mini-bonds to reta</w:t>
      </w:r>
      <w:r w:rsidR="007D59D4">
        <w:rPr>
          <w:rFonts w:ascii="Arial" w:eastAsia="SimSun" w:hAnsi="Arial" w:cs="Arial"/>
          <w:bCs/>
          <w:sz w:val="20"/>
          <w:lang w:eastAsia="zh-CN"/>
        </w:rPr>
        <w:t>il investors</w:t>
      </w:r>
      <w:r w:rsidRPr="00DB2117">
        <w:rPr>
          <w:rFonts w:ascii="Arial" w:eastAsia="SimSun" w:hAnsi="Arial" w:cs="Arial"/>
          <w:bCs/>
          <w:sz w:val="20"/>
          <w:lang w:eastAsia="zh-CN"/>
        </w:rPr>
        <w:t>.</w:t>
      </w:r>
      <w:r w:rsidR="007D59D4">
        <w:rPr>
          <w:rFonts w:ascii="Arial" w:eastAsia="SimSun" w:hAnsi="Arial" w:cs="Arial"/>
          <w:bCs/>
          <w:sz w:val="20"/>
          <w:lang w:eastAsia="zh-CN"/>
        </w:rPr>
        <w:t xml:space="preserve"> The FCA believes that further steps are necessary to protect consumers an</w:t>
      </w:r>
      <w:r w:rsidR="00DB4ACB">
        <w:rPr>
          <w:rFonts w:ascii="Arial" w:eastAsia="SimSun" w:hAnsi="Arial" w:cs="Arial"/>
          <w:bCs/>
          <w:sz w:val="20"/>
          <w:lang w:eastAsia="zh-CN"/>
        </w:rPr>
        <w:t xml:space="preserve">d reduce harm from the on-going </w:t>
      </w:r>
      <w:r w:rsidR="007D59D4">
        <w:rPr>
          <w:rFonts w:ascii="Arial" w:eastAsia="SimSun" w:hAnsi="Arial" w:cs="Arial"/>
          <w:bCs/>
          <w:sz w:val="20"/>
          <w:lang w:eastAsia="zh-CN"/>
        </w:rPr>
        <w:t xml:space="preserve">mass marketing of </w:t>
      </w:r>
      <w:r w:rsidR="00DB4ACB">
        <w:rPr>
          <w:rFonts w:ascii="Arial" w:eastAsia="SimSun" w:hAnsi="Arial" w:cs="Arial"/>
          <w:bCs/>
          <w:sz w:val="20"/>
          <w:lang w:eastAsia="zh-CN"/>
        </w:rPr>
        <w:t>‘</w:t>
      </w:r>
      <w:r w:rsidR="007D59D4">
        <w:rPr>
          <w:rFonts w:ascii="Arial" w:eastAsia="SimSun" w:hAnsi="Arial" w:cs="Arial"/>
          <w:bCs/>
          <w:sz w:val="20"/>
          <w:lang w:eastAsia="zh-CN"/>
        </w:rPr>
        <w:t>speculative illiquid securities</w:t>
      </w:r>
      <w:r w:rsidR="00DB4ACB">
        <w:rPr>
          <w:rFonts w:ascii="Arial" w:eastAsia="SimSun" w:hAnsi="Arial" w:cs="Arial"/>
          <w:bCs/>
          <w:sz w:val="20"/>
          <w:lang w:eastAsia="zh-CN"/>
        </w:rPr>
        <w:t>’ – i.e.</w:t>
      </w:r>
      <w:r w:rsidR="00DB4ACB" w:rsidRPr="00DB4ACB">
        <w:rPr>
          <w:color w:val="212121"/>
        </w:rPr>
        <w:t xml:space="preserve"> </w:t>
      </w:r>
      <w:r w:rsidR="00DB4ACB" w:rsidRPr="00DB4ACB">
        <w:rPr>
          <w:rFonts w:ascii="Arial" w:eastAsia="SimSun" w:hAnsi="Arial" w:cs="Arial"/>
          <w:bCs/>
          <w:sz w:val="20"/>
          <w:lang w:eastAsia="zh-CN"/>
        </w:rPr>
        <w:t>unlisted debentures and preference shares where the issuer uses the funds raised to lend to a third party, invest in other companies or purchase or develop property</w:t>
      </w:r>
      <w:r w:rsidR="007D59D4">
        <w:rPr>
          <w:rFonts w:ascii="Arial" w:eastAsia="SimSun" w:hAnsi="Arial" w:cs="Arial"/>
          <w:bCs/>
          <w:sz w:val="20"/>
          <w:lang w:eastAsia="zh-CN"/>
        </w:rPr>
        <w:t>. As such, the FCA is: (i) r</w:t>
      </w:r>
      <w:r w:rsidRPr="00DB2117">
        <w:rPr>
          <w:rFonts w:ascii="Arial" w:eastAsia="SimSun" w:hAnsi="Arial" w:cs="Arial"/>
          <w:bCs/>
          <w:sz w:val="20"/>
          <w:lang w:eastAsia="zh-CN"/>
        </w:rPr>
        <w:t>estricting the marketing of speculative illiquid securities to ensure that they can only be promoted to individual retail investors who have been pre-categorised as sophisticated or high net worth and where the product has been initially assessed as</w:t>
      </w:r>
      <w:r w:rsidR="007D59D4">
        <w:rPr>
          <w:rFonts w:ascii="Arial" w:eastAsia="SimSun" w:hAnsi="Arial" w:cs="Arial"/>
          <w:bCs/>
          <w:sz w:val="20"/>
          <w:lang w:eastAsia="zh-CN"/>
        </w:rPr>
        <w:t xml:space="preserve"> likely to be suitable for them; and (ii) m</w:t>
      </w:r>
      <w:r w:rsidRPr="00DB2117">
        <w:rPr>
          <w:rFonts w:ascii="Arial" w:eastAsia="SimSun" w:hAnsi="Arial" w:cs="Arial"/>
          <w:bCs/>
          <w:sz w:val="20"/>
          <w:lang w:eastAsia="zh-CN"/>
        </w:rPr>
        <w:t>andating a specific risk warning and disclosures of any costs or payments to third parties that are deducted from the money raised by an issuer in any financial promotion for these products.</w:t>
      </w:r>
      <w:r w:rsidR="007D59D4">
        <w:rPr>
          <w:rFonts w:ascii="Arial" w:eastAsia="SimSun" w:hAnsi="Arial" w:cs="Arial"/>
          <w:bCs/>
          <w:sz w:val="20"/>
          <w:lang w:eastAsia="zh-CN"/>
        </w:rPr>
        <w:t xml:space="preserve"> </w:t>
      </w:r>
      <w:r w:rsidR="00DB4ACB" w:rsidRPr="00DB4ACB">
        <w:rPr>
          <w:rFonts w:ascii="Arial" w:eastAsia="SimSun" w:hAnsi="Arial" w:cs="Arial"/>
          <w:bCs/>
          <w:sz w:val="20"/>
          <w:lang w:eastAsia="zh-CN"/>
        </w:rPr>
        <w:t>The prohibition will not apply to unlisted securities where a company uses the funds raised to buy or construct property used by them for their own commercial or industrial purpose, and investment vehicles that only invest in a single UK-based property.</w:t>
      </w:r>
      <w:r w:rsidR="00DB4ACB">
        <w:rPr>
          <w:rFonts w:ascii="Arial" w:eastAsia="SimSun" w:hAnsi="Arial" w:cs="Arial"/>
          <w:bCs/>
          <w:sz w:val="20"/>
          <w:lang w:eastAsia="zh-CN"/>
        </w:rPr>
        <w:t xml:space="preserve"> </w:t>
      </w:r>
      <w:r w:rsidR="00DB4ACB" w:rsidRPr="00DB4ACB">
        <w:rPr>
          <w:rFonts w:ascii="Arial" w:eastAsia="SimSun" w:hAnsi="Arial" w:cs="Arial"/>
          <w:bCs/>
          <w:sz w:val="20"/>
          <w:lang w:eastAsia="zh-CN"/>
        </w:rPr>
        <w:t xml:space="preserve">These rules will </w:t>
      </w:r>
      <w:r w:rsidR="00DB4ACB">
        <w:rPr>
          <w:rFonts w:ascii="Arial" w:eastAsia="SimSun" w:hAnsi="Arial" w:cs="Arial"/>
          <w:bCs/>
          <w:sz w:val="20"/>
          <w:lang w:eastAsia="zh-CN"/>
        </w:rPr>
        <w:t xml:space="preserve">apply to any promotion approved or communicated by an authorised firm from 1 January 2020 (and will apply for 12 months) but will </w:t>
      </w:r>
      <w:r w:rsidR="00DB4ACB" w:rsidRPr="00DB4ACB">
        <w:rPr>
          <w:rFonts w:ascii="Arial" w:eastAsia="SimSun" w:hAnsi="Arial" w:cs="Arial"/>
          <w:bCs/>
          <w:sz w:val="20"/>
          <w:lang w:eastAsia="zh-CN"/>
        </w:rPr>
        <w:t>not apply to promotions approved by authorised firms before 1 January 2020, which can still be communicated by an u</w:t>
      </w:r>
      <w:r w:rsidR="00DB4ACB">
        <w:rPr>
          <w:rFonts w:ascii="Arial" w:eastAsia="SimSun" w:hAnsi="Arial" w:cs="Arial"/>
          <w:bCs/>
          <w:sz w:val="20"/>
          <w:lang w:eastAsia="zh-CN"/>
        </w:rPr>
        <w:t>nauthorised person on or after that date</w:t>
      </w:r>
      <w:r w:rsidR="00DB4ACB" w:rsidRPr="00DB4ACB">
        <w:rPr>
          <w:rFonts w:ascii="Arial" w:eastAsia="SimSun" w:hAnsi="Arial" w:cs="Arial"/>
          <w:bCs/>
          <w:sz w:val="20"/>
          <w:lang w:eastAsia="zh-CN"/>
        </w:rPr>
        <w:t>.</w:t>
      </w:r>
    </w:p>
    <w:p w:rsidR="00DB2117" w:rsidRDefault="00AE3A4B" w:rsidP="00965776">
      <w:pPr>
        <w:rPr>
          <w:rFonts w:ascii="Arial" w:eastAsia="SimSun" w:hAnsi="Arial" w:cs="Arial"/>
          <w:bCs/>
          <w:sz w:val="20"/>
          <w:lang w:eastAsia="zh-CN"/>
        </w:rPr>
      </w:pPr>
      <w:hyperlink r:id="rId15" w:history="1">
        <w:r w:rsidR="00395350">
          <w:rPr>
            <w:rStyle w:val="Hyperlink"/>
            <w:rFonts w:ascii="Arial" w:eastAsia="SimSun" w:hAnsi="Arial" w:cs="Arial"/>
            <w:bCs/>
            <w:sz w:val="20"/>
            <w:lang w:eastAsia="zh-CN"/>
          </w:rPr>
          <w:t>Read more</w:t>
        </w:r>
      </w:hyperlink>
      <w:r w:rsidR="00395350">
        <w:rPr>
          <w:rFonts w:ascii="Arial" w:eastAsia="SimSun" w:hAnsi="Arial" w:cs="Arial"/>
          <w:bCs/>
          <w:sz w:val="20"/>
          <w:lang w:eastAsia="zh-CN"/>
        </w:rPr>
        <w:t xml:space="preserve"> </w:t>
      </w:r>
    </w:p>
    <w:p w:rsidR="004277E7" w:rsidRDefault="004277E7" w:rsidP="00965776">
      <w:pPr>
        <w:rPr>
          <w:rFonts w:ascii="Arial" w:eastAsia="SimSun" w:hAnsi="Arial" w:cs="Arial"/>
          <w:bCs/>
          <w:sz w:val="20"/>
          <w:lang w:eastAsia="zh-CN"/>
        </w:rPr>
      </w:pPr>
    </w:p>
    <w:p w:rsidR="004277E7" w:rsidRPr="004277E7" w:rsidRDefault="004277E7" w:rsidP="00965776">
      <w:pPr>
        <w:rPr>
          <w:rFonts w:ascii="Arial" w:eastAsia="SimSun" w:hAnsi="Arial" w:cs="Arial"/>
          <w:b/>
          <w:bCs/>
          <w:color w:val="800000"/>
          <w:sz w:val="20"/>
          <w:lang w:eastAsia="zh-CN"/>
        </w:rPr>
      </w:pPr>
      <w:r w:rsidRPr="004277E7">
        <w:rPr>
          <w:rFonts w:ascii="Arial" w:eastAsia="SimSun" w:hAnsi="Arial" w:cs="Arial"/>
          <w:b/>
          <w:bCs/>
          <w:color w:val="800000"/>
          <w:sz w:val="20"/>
          <w:lang w:eastAsia="zh-CN"/>
        </w:rPr>
        <w:t>FINANCIAL CRIME</w:t>
      </w:r>
    </w:p>
    <w:p w:rsidR="00E67184" w:rsidRDefault="00E67184" w:rsidP="00E67184">
      <w:pPr>
        <w:rPr>
          <w:rFonts w:ascii="Arial" w:eastAsia="SimSun" w:hAnsi="Arial" w:cs="Arial"/>
          <w:bCs/>
          <w:sz w:val="20"/>
          <w:lang w:eastAsia="zh-CN"/>
        </w:rPr>
      </w:pPr>
    </w:p>
    <w:p w:rsidR="006052C2" w:rsidRDefault="006052C2" w:rsidP="00E67184">
      <w:pPr>
        <w:rPr>
          <w:rFonts w:ascii="Arial" w:eastAsia="SimSun" w:hAnsi="Arial" w:cs="Arial"/>
          <w:bCs/>
          <w:sz w:val="20"/>
          <w:lang w:eastAsia="zh-CN"/>
        </w:rPr>
      </w:pPr>
      <w:r>
        <w:rPr>
          <w:rFonts w:ascii="Arial" w:eastAsia="SimSun" w:hAnsi="Arial" w:cs="Arial"/>
          <w:bCs/>
          <w:sz w:val="20"/>
          <w:lang w:eastAsia="zh-CN"/>
        </w:rPr>
        <w:t xml:space="preserve">Please read our Investigations Insight publication, </w:t>
      </w:r>
      <w:hyperlink r:id="rId16" w:history="1">
        <w:r>
          <w:rPr>
            <w:rStyle w:val="Hyperlink"/>
            <w:rFonts w:ascii="Arial" w:eastAsia="SimSun" w:hAnsi="Arial" w:cs="Arial"/>
            <w:bCs/>
            <w:sz w:val="20"/>
            <w:lang w:eastAsia="zh-CN"/>
          </w:rPr>
          <w:t>'From 'enabler' to 'game changer': fighting financial crime with technology</w:t>
        </w:r>
      </w:hyperlink>
      <w:r>
        <w:rPr>
          <w:rFonts w:ascii="Arial" w:eastAsia="SimSun" w:hAnsi="Arial" w:cs="Arial"/>
          <w:bCs/>
          <w:sz w:val="20"/>
          <w:lang w:eastAsia="zh-CN"/>
        </w:rPr>
        <w:t xml:space="preserve"> </w:t>
      </w:r>
    </w:p>
    <w:p w:rsidR="00E67184" w:rsidRPr="006052C2" w:rsidRDefault="00E67184" w:rsidP="00E67184">
      <w:pPr>
        <w:rPr>
          <w:rFonts w:ascii="Arial" w:eastAsia="SimSun" w:hAnsi="Arial" w:cs="Arial"/>
          <w:bCs/>
          <w:sz w:val="20"/>
          <w:lang w:eastAsia="zh-CN"/>
        </w:rPr>
      </w:pPr>
      <w:r w:rsidRPr="00E67184">
        <w:rPr>
          <w:rFonts w:ascii="Arial" w:eastAsia="SimSun" w:hAnsi="Arial" w:cs="Arial"/>
          <w:bCs/>
          <w:sz w:val="20"/>
          <w:szCs w:val="20"/>
          <w:lang w:eastAsia="zh-CN"/>
        </w:rPr>
        <w:lastRenderedPageBreak/>
        <w:t>Please see the Markets and Markets Infrastructure section for an update on the SME growth mar</w:t>
      </w:r>
      <w:r w:rsidR="00BD6413">
        <w:rPr>
          <w:rFonts w:ascii="Arial" w:eastAsia="SimSun" w:hAnsi="Arial" w:cs="Arial"/>
          <w:bCs/>
          <w:sz w:val="20"/>
          <w:szCs w:val="20"/>
          <w:lang w:eastAsia="zh-CN"/>
        </w:rPr>
        <w:t>ket reform regulation</w:t>
      </w:r>
      <w:r w:rsidRPr="00E67184">
        <w:rPr>
          <w:rFonts w:ascii="Arial" w:eastAsia="SimSun" w:hAnsi="Arial" w:cs="Arial"/>
          <w:bCs/>
          <w:sz w:val="20"/>
          <w:szCs w:val="20"/>
          <w:lang w:eastAsia="zh-CN"/>
        </w:rPr>
        <w:t>.</w:t>
      </w:r>
    </w:p>
    <w:p w:rsidR="00E67184" w:rsidRDefault="00E67184" w:rsidP="00965776">
      <w:pPr>
        <w:rPr>
          <w:rFonts w:ascii="Arial" w:eastAsia="SimSun" w:hAnsi="Arial" w:cs="Arial"/>
          <w:bCs/>
          <w:sz w:val="20"/>
          <w:lang w:eastAsia="zh-CN"/>
        </w:rPr>
      </w:pPr>
      <w:r>
        <w:rPr>
          <w:rFonts w:ascii="Arial" w:eastAsia="SimSun" w:hAnsi="Arial" w:cs="Arial"/>
          <w:bCs/>
          <w:sz w:val="20"/>
          <w:lang w:eastAsia="zh-CN"/>
        </w:rPr>
        <w:t xml:space="preserve"> </w:t>
      </w:r>
    </w:p>
    <w:p w:rsidR="004277E7" w:rsidRPr="004277E7" w:rsidRDefault="004277E7" w:rsidP="004277E7">
      <w:pPr>
        <w:rPr>
          <w:rFonts w:ascii="Arial" w:eastAsia="SimSun" w:hAnsi="Arial" w:cs="Arial"/>
          <w:b/>
          <w:bCs/>
          <w:sz w:val="20"/>
          <w:lang w:eastAsia="zh-CN"/>
        </w:rPr>
      </w:pPr>
      <w:r w:rsidRPr="00731339">
        <w:rPr>
          <w:rFonts w:ascii="Arial" w:eastAsia="SimSun" w:hAnsi="Arial" w:cs="Arial"/>
          <w:b/>
          <w:bCs/>
          <w:sz w:val="20"/>
          <w:lang w:eastAsia="zh-CN"/>
        </w:rPr>
        <w:t>Payment Service Providers (PSPs) extend code for reimbursement of victims of Authorised Push Payment (APP) scams</w:t>
      </w:r>
    </w:p>
    <w:p w:rsidR="004277E7" w:rsidRPr="004277E7" w:rsidRDefault="004277E7" w:rsidP="004277E7">
      <w:pPr>
        <w:rPr>
          <w:rFonts w:ascii="Arial" w:eastAsia="SimSun" w:hAnsi="Arial" w:cs="Arial"/>
          <w:bCs/>
          <w:sz w:val="20"/>
          <w:lang w:eastAsia="zh-CN"/>
        </w:rPr>
      </w:pPr>
      <w:r w:rsidRPr="004277E7">
        <w:rPr>
          <w:rFonts w:ascii="Arial" w:eastAsia="SimSun" w:hAnsi="Arial" w:cs="Arial"/>
          <w:bCs/>
          <w:sz w:val="20"/>
          <w:lang w:eastAsia="zh-CN"/>
        </w:rPr>
        <w:t>On 28 November, UK Finance announced that the seven PSPs that have provided interim funding for the reimbursement of victims to APP scams in a ‘no-blame’ scenario have agreed to extend the duration</w:t>
      </w:r>
      <w:r w:rsidR="00BD6413">
        <w:rPr>
          <w:rFonts w:ascii="Arial" w:eastAsia="SimSun" w:hAnsi="Arial" w:cs="Arial"/>
          <w:bCs/>
          <w:sz w:val="20"/>
          <w:lang w:eastAsia="zh-CN"/>
        </w:rPr>
        <w:t xml:space="preserve"> of the </w:t>
      </w:r>
      <w:r w:rsidRPr="004277E7">
        <w:rPr>
          <w:rFonts w:ascii="Arial" w:eastAsia="SimSun" w:hAnsi="Arial" w:cs="Arial"/>
          <w:bCs/>
          <w:sz w:val="20"/>
          <w:lang w:eastAsia="zh-CN"/>
        </w:rPr>
        <w:t xml:space="preserve"> voluntary code under which the reimbursements are made. The code, which was due to expire on 31 December, will now continue until at least 31 March 2020</w:t>
      </w:r>
      <w:r w:rsidR="00F33CB9">
        <w:rPr>
          <w:rFonts w:ascii="Arial" w:eastAsia="SimSun" w:hAnsi="Arial" w:cs="Arial"/>
          <w:bCs/>
          <w:sz w:val="20"/>
          <w:lang w:eastAsia="zh-CN"/>
        </w:rPr>
        <w:t xml:space="preserve"> to allow more time to consider long-term funding arrangements</w:t>
      </w:r>
      <w:r w:rsidRPr="004277E7">
        <w:rPr>
          <w:rFonts w:ascii="Arial" w:eastAsia="SimSun" w:hAnsi="Arial" w:cs="Arial"/>
          <w:bCs/>
          <w:sz w:val="20"/>
          <w:lang w:eastAsia="zh-CN"/>
        </w:rPr>
        <w:t>.</w:t>
      </w:r>
    </w:p>
    <w:p w:rsidR="004277E7" w:rsidRPr="004277E7" w:rsidRDefault="00AE3A4B" w:rsidP="004277E7">
      <w:pPr>
        <w:rPr>
          <w:rFonts w:ascii="Arial" w:eastAsia="SimSun" w:hAnsi="Arial" w:cs="Arial"/>
          <w:bCs/>
          <w:sz w:val="20"/>
          <w:lang w:eastAsia="zh-CN"/>
        </w:rPr>
      </w:pPr>
      <w:hyperlink r:id="rId17" w:anchor="summary" w:history="1">
        <w:r w:rsidR="004277E7" w:rsidRPr="004277E7">
          <w:rPr>
            <w:rStyle w:val="Hyperlink"/>
            <w:rFonts w:ascii="Arial" w:eastAsia="SimSun" w:hAnsi="Arial" w:cs="Arial"/>
            <w:bCs/>
            <w:sz w:val="20"/>
            <w:lang w:eastAsia="zh-CN"/>
          </w:rPr>
          <w:t>Read more</w:t>
        </w:r>
      </w:hyperlink>
      <w:r w:rsidR="004277E7" w:rsidRPr="004277E7">
        <w:rPr>
          <w:rFonts w:ascii="Arial" w:eastAsia="SimSun" w:hAnsi="Arial" w:cs="Arial"/>
          <w:bCs/>
          <w:sz w:val="20"/>
          <w:lang w:eastAsia="zh-CN"/>
        </w:rPr>
        <w:t xml:space="preserve"> </w:t>
      </w:r>
    </w:p>
    <w:p w:rsidR="00965776" w:rsidRDefault="00965776" w:rsidP="008D380E">
      <w:pPr>
        <w:rPr>
          <w:rFonts w:ascii="Arial" w:eastAsia="SimSun" w:hAnsi="Arial" w:cs="Arial"/>
          <w:b/>
          <w:bCs/>
          <w:sz w:val="20"/>
          <w:lang w:eastAsia="zh-CN"/>
        </w:rPr>
      </w:pPr>
    </w:p>
    <w:p w:rsidR="00E67184" w:rsidRDefault="00E67184" w:rsidP="008D380E">
      <w:pPr>
        <w:rPr>
          <w:rFonts w:ascii="Arial" w:eastAsia="SimSun" w:hAnsi="Arial" w:cs="Arial"/>
          <w:b/>
          <w:bCs/>
          <w:color w:val="800000"/>
          <w:sz w:val="20"/>
          <w:lang w:eastAsia="zh-CN"/>
        </w:rPr>
      </w:pPr>
      <w:r>
        <w:rPr>
          <w:rFonts w:ascii="Arial" w:eastAsia="SimSun" w:hAnsi="Arial" w:cs="Arial"/>
          <w:b/>
          <w:bCs/>
          <w:color w:val="800000"/>
          <w:sz w:val="20"/>
          <w:lang w:eastAsia="zh-CN"/>
        </w:rPr>
        <w:t>FUND REGULATION</w:t>
      </w:r>
    </w:p>
    <w:p w:rsidR="00E67184" w:rsidRDefault="00E67184" w:rsidP="008D380E">
      <w:pPr>
        <w:rPr>
          <w:rFonts w:ascii="Arial" w:eastAsia="SimSun" w:hAnsi="Arial" w:cs="Arial"/>
          <w:b/>
          <w:bCs/>
          <w:color w:val="800000"/>
          <w:sz w:val="20"/>
          <w:lang w:eastAsia="zh-CN"/>
        </w:rPr>
      </w:pPr>
    </w:p>
    <w:p w:rsidR="00E67184" w:rsidRPr="00E67184" w:rsidRDefault="00E67184" w:rsidP="00E67184">
      <w:pPr>
        <w:rPr>
          <w:rFonts w:ascii="Arial" w:eastAsiaTheme="minorEastAsia" w:hAnsi="Arial"/>
          <w:sz w:val="20"/>
        </w:rPr>
      </w:pPr>
      <w:r w:rsidRPr="00E67184">
        <w:rPr>
          <w:rFonts w:ascii="Arial" w:eastAsia="SimSun" w:hAnsi="Arial" w:cs="Arial"/>
          <w:bCs/>
          <w:sz w:val="20"/>
          <w:lang w:eastAsia="zh-CN"/>
        </w:rPr>
        <w:t xml:space="preserve">Please see the Prudential Regulation section for an update on the </w:t>
      </w:r>
      <w:r w:rsidRPr="00E67184">
        <w:rPr>
          <w:rFonts w:ascii="Arial" w:eastAsiaTheme="minorEastAsia" w:hAnsi="Arial"/>
          <w:sz w:val="20"/>
        </w:rPr>
        <w:t>Investment Firms Regulation and Inves</w:t>
      </w:r>
      <w:r w:rsidR="00E50479">
        <w:rPr>
          <w:rFonts w:ascii="Arial" w:eastAsiaTheme="minorEastAsia" w:hAnsi="Arial"/>
          <w:sz w:val="20"/>
        </w:rPr>
        <w:t>tment Firms Directive</w:t>
      </w:r>
      <w:r w:rsidRPr="00E67184">
        <w:rPr>
          <w:rFonts w:ascii="Arial" w:eastAsiaTheme="minorEastAsia" w:hAnsi="Arial"/>
          <w:sz w:val="20"/>
        </w:rPr>
        <w:t>.</w:t>
      </w:r>
    </w:p>
    <w:p w:rsidR="00E67184" w:rsidRDefault="00E67184" w:rsidP="008D380E">
      <w:pPr>
        <w:rPr>
          <w:rFonts w:ascii="Arial" w:eastAsia="SimSun" w:hAnsi="Arial" w:cs="Arial"/>
          <w:b/>
          <w:bCs/>
          <w:color w:val="800000"/>
          <w:sz w:val="20"/>
          <w:lang w:eastAsia="zh-CN"/>
        </w:rPr>
      </w:pPr>
    </w:p>
    <w:p w:rsidR="00004116" w:rsidRPr="00E35527" w:rsidRDefault="00004116" w:rsidP="008D380E">
      <w:pPr>
        <w:rPr>
          <w:rFonts w:ascii="Arial" w:eastAsia="SimSun" w:hAnsi="Arial" w:cs="Arial"/>
          <w:b/>
          <w:bCs/>
          <w:color w:val="800000"/>
          <w:sz w:val="20"/>
          <w:lang w:eastAsia="zh-CN"/>
        </w:rPr>
      </w:pPr>
      <w:r w:rsidRPr="00E35527">
        <w:rPr>
          <w:rFonts w:ascii="Arial" w:eastAsia="SimSun" w:hAnsi="Arial" w:cs="Arial"/>
          <w:b/>
          <w:bCs/>
          <w:color w:val="800000"/>
          <w:sz w:val="20"/>
          <w:lang w:eastAsia="zh-CN"/>
        </w:rPr>
        <w:t>INSURANCE</w:t>
      </w:r>
    </w:p>
    <w:p w:rsidR="00004116" w:rsidRDefault="00004116" w:rsidP="008D380E">
      <w:pPr>
        <w:rPr>
          <w:rFonts w:ascii="Arial" w:eastAsia="SimSun" w:hAnsi="Arial" w:cs="Arial"/>
          <w:b/>
          <w:bCs/>
          <w:sz w:val="20"/>
          <w:lang w:eastAsia="zh-CN"/>
        </w:rPr>
      </w:pPr>
    </w:p>
    <w:p w:rsidR="00EE6FF7" w:rsidRDefault="00EE6FF7" w:rsidP="008D380E">
      <w:pPr>
        <w:rPr>
          <w:rFonts w:ascii="Arial" w:eastAsia="SimSun" w:hAnsi="Arial" w:cs="Arial"/>
          <w:b/>
          <w:bCs/>
          <w:sz w:val="20"/>
          <w:lang w:eastAsia="zh-CN"/>
        </w:rPr>
      </w:pPr>
      <w:r w:rsidRPr="00731339">
        <w:rPr>
          <w:rFonts w:ascii="Arial" w:eastAsia="SimSun" w:hAnsi="Arial" w:cs="Arial"/>
          <w:b/>
          <w:bCs/>
          <w:sz w:val="20"/>
          <w:lang w:eastAsia="zh-CN"/>
        </w:rPr>
        <w:t>FCA on Insurance Distribution Directive (IDD)</w:t>
      </w:r>
      <w:r w:rsidR="00F33CB9">
        <w:rPr>
          <w:rFonts w:ascii="Arial" w:eastAsia="SimSun" w:hAnsi="Arial" w:cs="Arial"/>
          <w:b/>
          <w:bCs/>
          <w:sz w:val="20"/>
          <w:lang w:eastAsia="zh-CN"/>
        </w:rPr>
        <w:t xml:space="preserve"> general</w:t>
      </w:r>
      <w:r w:rsidRPr="00731339">
        <w:rPr>
          <w:rFonts w:ascii="Arial" w:eastAsia="SimSun" w:hAnsi="Arial" w:cs="Arial"/>
          <w:b/>
          <w:bCs/>
          <w:sz w:val="20"/>
          <w:lang w:eastAsia="zh-CN"/>
        </w:rPr>
        <w:t xml:space="preserve"> good requirements</w:t>
      </w:r>
    </w:p>
    <w:p w:rsidR="00003306" w:rsidRPr="00003306" w:rsidRDefault="00003306" w:rsidP="00003306">
      <w:pPr>
        <w:rPr>
          <w:rFonts w:ascii="Arial" w:eastAsia="SimSun" w:hAnsi="Arial" w:cs="Arial"/>
          <w:bCs/>
          <w:sz w:val="20"/>
          <w:lang w:eastAsia="zh-CN"/>
        </w:rPr>
      </w:pPr>
      <w:r w:rsidRPr="00003306">
        <w:rPr>
          <w:rFonts w:ascii="Arial" w:eastAsia="SimSun" w:hAnsi="Arial" w:cs="Arial"/>
          <w:bCs/>
          <w:sz w:val="20"/>
          <w:lang w:eastAsia="zh-CN"/>
        </w:rPr>
        <w:t>On 27 November</w:t>
      </w:r>
      <w:r w:rsidR="00EE6FF7">
        <w:rPr>
          <w:rFonts w:ascii="Arial" w:eastAsia="SimSun" w:hAnsi="Arial" w:cs="Arial"/>
          <w:bCs/>
          <w:sz w:val="20"/>
          <w:lang w:eastAsia="zh-CN"/>
        </w:rPr>
        <w:t>, t</w:t>
      </w:r>
      <w:r w:rsidR="0067229E">
        <w:rPr>
          <w:rFonts w:ascii="Arial" w:eastAsia="SimSun" w:hAnsi="Arial" w:cs="Arial"/>
          <w:bCs/>
          <w:sz w:val="20"/>
          <w:lang w:eastAsia="zh-CN"/>
        </w:rPr>
        <w:t>he FCA published a table that is intended to provide the information required under article 11 of the IDD, and sets out certain FCA Handbook rules which are applicable to incoming firms exercising a passport right under the IDD</w:t>
      </w:r>
      <w:r w:rsidR="00F33CB9">
        <w:rPr>
          <w:rFonts w:ascii="Arial" w:eastAsia="SimSun" w:hAnsi="Arial" w:cs="Arial"/>
          <w:bCs/>
          <w:sz w:val="20"/>
          <w:lang w:eastAsia="zh-CN"/>
        </w:rPr>
        <w:t>, so called</w:t>
      </w:r>
      <w:r w:rsidR="0067229E">
        <w:rPr>
          <w:rFonts w:ascii="Arial" w:eastAsia="SimSun" w:hAnsi="Arial" w:cs="Arial"/>
          <w:bCs/>
          <w:sz w:val="20"/>
          <w:lang w:eastAsia="zh-CN"/>
        </w:rPr>
        <w:t xml:space="preserve"> </w:t>
      </w:r>
      <w:r w:rsidR="00F33CB9">
        <w:rPr>
          <w:rFonts w:ascii="Arial" w:eastAsia="SimSun" w:hAnsi="Arial" w:cs="Arial"/>
          <w:bCs/>
          <w:sz w:val="20"/>
          <w:lang w:eastAsia="zh-CN"/>
        </w:rPr>
        <w:t>‘</w:t>
      </w:r>
      <w:r w:rsidR="0067229E">
        <w:rPr>
          <w:rFonts w:ascii="Arial" w:eastAsia="SimSun" w:hAnsi="Arial" w:cs="Arial"/>
          <w:bCs/>
          <w:sz w:val="20"/>
          <w:lang w:eastAsia="zh-CN"/>
        </w:rPr>
        <w:t>general good</w:t>
      </w:r>
      <w:r w:rsidR="00F33CB9">
        <w:rPr>
          <w:rFonts w:ascii="Arial" w:eastAsia="SimSun" w:hAnsi="Arial" w:cs="Arial"/>
          <w:bCs/>
          <w:sz w:val="20"/>
          <w:lang w:eastAsia="zh-CN"/>
        </w:rPr>
        <w:t>’</w:t>
      </w:r>
      <w:r w:rsidR="0067229E">
        <w:rPr>
          <w:rFonts w:ascii="Arial" w:eastAsia="SimSun" w:hAnsi="Arial" w:cs="Arial"/>
          <w:bCs/>
          <w:sz w:val="20"/>
          <w:lang w:eastAsia="zh-CN"/>
        </w:rPr>
        <w:t xml:space="preserve"> </w:t>
      </w:r>
      <w:r w:rsidR="00F33CB9">
        <w:rPr>
          <w:rFonts w:ascii="Arial" w:eastAsia="SimSun" w:hAnsi="Arial" w:cs="Arial"/>
          <w:bCs/>
          <w:sz w:val="20"/>
          <w:lang w:eastAsia="zh-CN"/>
        </w:rPr>
        <w:t>rules</w:t>
      </w:r>
      <w:r w:rsidR="0067229E">
        <w:rPr>
          <w:rFonts w:ascii="Arial" w:eastAsia="SimSun" w:hAnsi="Arial" w:cs="Arial"/>
          <w:bCs/>
          <w:sz w:val="20"/>
          <w:lang w:eastAsia="zh-CN"/>
        </w:rPr>
        <w:t>. The FCA states</w:t>
      </w:r>
      <w:r w:rsidRPr="00003306">
        <w:rPr>
          <w:rFonts w:ascii="Arial" w:eastAsia="SimSun" w:hAnsi="Arial" w:cs="Arial"/>
          <w:bCs/>
          <w:sz w:val="20"/>
          <w:lang w:eastAsia="zh-CN"/>
        </w:rPr>
        <w:t xml:space="preserve"> that for an incoming EEA firm that has permission for cross-border services only, many parts of the Handbook apply only if the firm carries on regulated activities in the UK. Those parts of the Handbook will therefore not apply if the firm's activities fall within the overseas persons exclusion</w:t>
      </w:r>
      <w:r w:rsidR="0067229E">
        <w:rPr>
          <w:rFonts w:ascii="Arial" w:eastAsia="SimSun" w:hAnsi="Arial" w:cs="Arial"/>
          <w:bCs/>
          <w:sz w:val="20"/>
          <w:lang w:eastAsia="zh-CN"/>
        </w:rPr>
        <w:t xml:space="preserve">s in article 72 of the </w:t>
      </w:r>
      <w:r w:rsidRPr="00003306">
        <w:rPr>
          <w:rFonts w:ascii="Arial" w:eastAsia="SimSun" w:hAnsi="Arial" w:cs="Arial"/>
          <w:bCs/>
          <w:sz w:val="20"/>
          <w:lang w:eastAsia="zh-CN"/>
        </w:rPr>
        <w:t>Regulated Activ</w:t>
      </w:r>
      <w:r w:rsidR="0067229E">
        <w:rPr>
          <w:rFonts w:ascii="Arial" w:eastAsia="SimSun" w:hAnsi="Arial" w:cs="Arial"/>
          <w:bCs/>
          <w:sz w:val="20"/>
          <w:lang w:eastAsia="zh-CN"/>
        </w:rPr>
        <w:t>ities Order</w:t>
      </w:r>
      <w:r w:rsidRPr="00003306">
        <w:rPr>
          <w:rFonts w:ascii="Arial" w:eastAsia="SimSun" w:hAnsi="Arial" w:cs="Arial"/>
          <w:bCs/>
          <w:sz w:val="20"/>
          <w:lang w:eastAsia="zh-CN"/>
        </w:rPr>
        <w:t xml:space="preserve">, or if they would not be regarded as carried on in the UK. </w:t>
      </w:r>
    </w:p>
    <w:p w:rsidR="00003306" w:rsidRPr="00003306" w:rsidRDefault="00AE3A4B" w:rsidP="00004116">
      <w:pPr>
        <w:rPr>
          <w:rFonts w:ascii="Arial" w:eastAsia="SimSun" w:hAnsi="Arial" w:cs="Arial"/>
          <w:bCs/>
          <w:sz w:val="20"/>
          <w:lang w:eastAsia="zh-CN"/>
        </w:rPr>
      </w:pPr>
      <w:hyperlink r:id="rId18" w:history="1">
        <w:r w:rsidR="00003306">
          <w:rPr>
            <w:rStyle w:val="Hyperlink"/>
            <w:rFonts w:ascii="Arial" w:eastAsia="SimSun" w:hAnsi="Arial" w:cs="Arial"/>
            <w:bCs/>
            <w:sz w:val="20"/>
            <w:lang w:eastAsia="zh-CN"/>
          </w:rPr>
          <w:t>Read more</w:t>
        </w:r>
      </w:hyperlink>
      <w:r w:rsidR="00003306" w:rsidRPr="00003306">
        <w:rPr>
          <w:rFonts w:ascii="Arial" w:eastAsia="SimSun" w:hAnsi="Arial" w:cs="Arial"/>
          <w:bCs/>
          <w:sz w:val="20"/>
          <w:lang w:eastAsia="zh-CN"/>
        </w:rPr>
        <w:t xml:space="preserve"> </w:t>
      </w:r>
    </w:p>
    <w:p w:rsidR="00003306" w:rsidRDefault="00003306" w:rsidP="00004116">
      <w:pPr>
        <w:rPr>
          <w:rFonts w:ascii="Arial" w:eastAsia="SimSun" w:hAnsi="Arial" w:cs="Arial"/>
          <w:b/>
          <w:bCs/>
          <w:sz w:val="20"/>
          <w:lang w:eastAsia="zh-CN"/>
        </w:rPr>
      </w:pPr>
    </w:p>
    <w:p w:rsidR="00004116" w:rsidRPr="00004116" w:rsidRDefault="00004116" w:rsidP="00004116">
      <w:pPr>
        <w:rPr>
          <w:rFonts w:ascii="Arial" w:eastAsia="SimSun" w:hAnsi="Arial" w:cs="Arial"/>
          <w:b/>
          <w:bCs/>
          <w:sz w:val="20"/>
          <w:lang w:eastAsia="zh-CN"/>
        </w:rPr>
      </w:pPr>
      <w:r w:rsidRPr="00004116">
        <w:rPr>
          <w:rFonts w:ascii="Arial" w:eastAsia="SimSun" w:hAnsi="Arial" w:cs="Arial"/>
          <w:b/>
          <w:bCs/>
          <w:sz w:val="20"/>
          <w:lang w:eastAsia="zh-CN"/>
        </w:rPr>
        <w:t>Commission Delegated Regulation on ad</w:t>
      </w:r>
      <w:r w:rsidR="00355585">
        <w:rPr>
          <w:rFonts w:ascii="Arial" w:eastAsia="SimSun" w:hAnsi="Arial" w:cs="Arial"/>
          <w:b/>
          <w:bCs/>
          <w:sz w:val="20"/>
          <w:lang w:eastAsia="zh-CN"/>
        </w:rPr>
        <w:t>apting base euro amounts for professional indemnity insurance</w:t>
      </w:r>
      <w:r w:rsidRPr="00004116">
        <w:rPr>
          <w:rFonts w:ascii="Arial" w:eastAsia="SimSun" w:hAnsi="Arial" w:cs="Arial"/>
          <w:b/>
          <w:bCs/>
          <w:sz w:val="20"/>
          <w:lang w:eastAsia="zh-CN"/>
        </w:rPr>
        <w:t xml:space="preserve"> and financial capac</w:t>
      </w:r>
      <w:r w:rsidR="00355585">
        <w:rPr>
          <w:rFonts w:ascii="Arial" w:eastAsia="SimSun" w:hAnsi="Arial" w:cs="Arial"/>
          <w:b/>
          <w:bCs/>
          <w:sz w:val="20"/>
          <w:lang w:eastAsia="zh-CN"/>
        </w:rPr>
        <w:t xml:space="preserve">ity of intermediaries </w:t>
      </w:r>
      <w:r w:rsidRPr="00004116">
        <w:rPr>
          <w:rFonts w:ascii="Arial" w:eastAsia="SimSun" w:hAnsi="Arial" w:cs="Arial"/>
          <w:b/>
          <w:bCs/>
          <w:sz w:val="20"/>
          <w:lang w:eastAsia="zh-CN"/>
        </w:rPr>
        <w:t>published in OJ</w:t>
      </w:r>
    </w:p>
    <w:p w:rsidR="00355585" w:rsidRDefault="00004116" w:rsidP="00004116">
      <w:pPr>
        <w:rPr>
          <w:rFonts w:ascii="Arial" w:eastAsia="SimSun" w:hAnsi="Arial" w:cs="Arial"/>
          <w:bCs/>
          <w:sz w:val="20"/>
          <w:lang w:eastAsia="zh-CN"/>
        </w:rPr>
      </w:pPr>
      <w:r w:rsidRPr="00004116">
        <w:rPr>
          <w:rFonts w:ascii="Arial" w:eastAsia="SimSun" w:hAnsi="Arial" w:cs="Arial"/>
          <w:bCs/>
          <w:sz w:val="20"/>
          <w:lang w:eastAsia="zh-CN"/>
        </w:rPr>
        <w:t xml:space="preserve">On 22 November, Commission Delegated Regulation (EU) 2019/1935 </w:t>
      </w:r>
      <w:r w:rsidR="004C27BE">
        <w:rPr>
          <w:rFonts w:ascii="Arial" w:eastAsia="SimSun" w:hAnsi="Arial" w:cs="Arial"/>
          <w:bCs/>
          <w:sz w:val="20"/>
          <w:lang w:eastAsia="zh-CN"/>
        </w:rPr>
        <w:t xml:space="preserve">amending </w:t>
      </w:r>
      <w:r w:rsidR="004C27BE" w:rsidRPr="004C27BE">
        <w:rPr>
          <w:rFonts w:ascii="Arial" w:eastAsia="SimSun" w:hAnsi="Arial" w:cs="Arial"/>
          <w:bCs/>
          <w:sz w:val="20"/>
          <w:lang w:eastAsia="zh-CN"/>
        </w:rPr>
        <w:t xml:space="preserve">the Insurance Distribution Directive </w:t>
      </w:r>
      <w:r w:rsidR="004C27BE">
        <w:rPr>
          <w:rFonts w:ascii="Arial" w:eastAsia="SimSun" w:hAnsi="Arial" w:cs="Arial"/>
          <w:bCs/>
          <w:sz w:val="20"/>
          <w:lang w:eastAsia="zh-CN"/>
        </w:rPr>
        <w:t xml:space="preserve">with regard to regulatory technical standards </w:t>
      </w:r>
      <w:r w:rsidR="00355585">
        <w:rPr>
          <w:rFonts w:ascii="Arial" w:eastAsia="SimSun" w:hAnsi="Arial" w:cs="Arial"/>
          <w:bCs/>
          <w:sz w:val="20"/>
          <w:lang w:eastAsia="zh-CN"/>
        </w:rPr>
        <w:t>on adapting the base euro amounts for professional indemnity insurance and for financial capacity of insurance and reinsurance intermediaries was published in the OJ.</w:t>
      </w:r>
      <w:r w:rsidR="002C58B5">
        <w:rPr>
          <w:rFonts w:ascii="Arial" w:eastAsia="SimSun" w:hAnsi="Arial" w:cs="Arial"/>
          <w:bCs/>
          <w:sz w:val="20"/>
          <w:lang w:eastAsia="zh-CN"/>
        </w:rPr>
        <w:t xml:space="preserve"> The EC adopted the Delegated Regulation in May. The Delegated Regulation will come into force on 12 December (20 days after its publication in the OJ) and will apply from 12 June 2020.</w:t>
      </w:r>
    </w:p>
    <w:p w:rsidR="004746CE" w:rsidRPr="002C58B5" w:rsidRDefault="00AE3A4B" w:rsidP="00004116">
      <w:pPr>
        <w:rPr>
          <w:rFonts w:ascii="Arial" w:eastAsia="SimSun" w:hAnsi="Arial" w:cs="Arial"/>
          <w:bCs/>
          <w:sz w:val="20"/>
          <w:lang w:eastAsia="zh-CN"/>
        </w:rPr>
      </w:pPr>
      <w:hyperlink r:id="rId19" w:history="1">
        <w:r w:rsidR="002C58B5">
          <w:rPr>
            <w:rStyle w:val="Hyperlink"/>
            <w:rFonts w:ascii="Arial" w:eastAsia="SimSun" w:hAnsi="Arial" w:cs="Arial"/>
            <w:bCs/>
            <w:sz w:val="20"/>
            <w:lang w:eastAsia="zh-CN"/>
          </w:rPr>
          <w:t>Read more</w:t>
        </w:r>
      </w:hyperlink>
      <w:r w:rsidR="002C58B5">
        <w:rPr>
          <w:rFonts w:ascii="Arial" w:eastAsia="SimSun" w:hAnsi="Arial" w:cs="Arial"/>
          <w:bCs/>
          <w:sz w:val="20"/>
          <w:lang w:eastAsia="zh-CN"/>
        </w:rPr>
        <w:t xml:space="preserve"> </w:t>
      </w:r>
    </w:p>
    <w:p w:rsidR="004746CE" w:rsidRDefault="004746CE" w:rsidP="00004116">
      <w:pPr>
        <w:rPr>
          <w:rFonts w:ascii="Arial" w:eastAsia="SimSun" w:hAnsi="Arial" w:cs="Arial"/>
          <w:b/>
          <w:bCs/>
          <w:color w:val="800000"/>
          <w:sz w:val="20"/>
          <w:lang w:eastAsia="zh-CN"/>
        </w:rPr>
      </w:pPr>
    </w:p>
    <w:p w:rsidR="00DB2117" w:rsidRPr="00DB2117" w:rsidRDefault="00DB2117" w:rsidP="00004116">
      <w:pPr>
        <w:rPr>
          <w:rFonts w:ascii="Arial" w:eastAsia="SimSun" w:hAnsi="Arial" w:cs="Arial"/>
          <w:b/>
          <w:bCs/>
          <w:color w:val="800000"/>
          <w:sz w:val="20"/>
          <w:lang w:eastAsia="zh-CN"/>
        </w:rPr>
      </w:pPr>
      <w:r w:rsidRPr="00DB2117">
        <w:rPr>
          <w:rFonts w:ascii="Arial" w:eastAsia="SimSun" w:hAnsi="Arial" w:cs="Arial"/>
          <w:b/>
          <w:bCs/>
          <w:color w:val="800000"/>
          <w:sz w:val="20"/>
          <w:lang w:eastAsia="zh-CN"/>
        </w:rPr>
        <w:t>MARKETS AND MARKETS INFRASTRUCTURE</w:t>
      </w:r>
    </w:p>
    <w:p w:rsidR="00DA297D" w:rsidRDefault="00DA297D" w:rsidP="00004116">
      <w:pPr>
        <w:rPr>
          <w:rFonts w:ascii="Arial" w:eastAsia="SimSun" w:hAnsi="Arial" w:cs="Arial"/>
          <w:bCs/>
          <w:sz w:val="20"/>
          <w:lang w:eastAsia="zh-CN"/>
        </w:rPr>
      </w:pPr>
    </w:p>
    <w:p w:rsidR="00594AA4" w:rsidRPr="00731339" w:rsidRDefault="00594AA4" w:rsidP="00C5296D">
      <w:pPr>
        <w:rPr>
          <w:rFonts w:ascii="Arial" w:eastAsia="SimSun" w:hAnsi="Arial" w:cs="Arial"/>
          <w:b/>
          <w:bCs/>
          <w:sz w:val="20"/>
          <w:lang w:eastAsia="zh-CN"/>
        </w:rPr>
      </w:pPr>
      <w:r w:rsidRPr="00731339">
        <w:rPr>
          <w:rFonts w:ascii="Arial" w:eastAsia="SimSun" w:hAnsi="Arial" w:cs="Arial"/>
          <w:b/>
          <w:bCs/>
          <w:sz w:val="20"/>
          <w:lang w:eastAsia="zh-CN"/>
        </w:rPr>
        <w:t>Covered Bonds Directive and Regulation signed in Strasbourg</w:t>
      </w:r>
    </w:p>
    <w:p w:rsidR="00594AA4" w:rsidRPr="00594AA4" w:rsidRDefault="00594AA4" w:rsidP="00C5296D">
      <w:pPr>
        <w:rPr>
          <w:rFonts w:ascii="Arial" w:eastAsia="SimSun" w:hAnsi="Arial" w:cs="Arial"/>
          <w:bCs/>
          <w:sz w:val="20"/>
          <w:lang w:eastAsia="zh-CN"/>
        </w:rPr>
      </w:pPr>
      <w:r w:rsidRPr="00594AA4">
        <w:rPr>
          <w:rFonts w:ascii="Arial" w:eastAsia="SimSun" w:hAnsi="Arial" w:cs="Arial"/>
          <w:bCs/>
          <w:sz w:val="20"/>
          <w:lang w:eastAsia="zh-CN"/>
        </w:rPr>
        <w:t>On 27 November, the texts of the Covered Bonds Regulation and Covered Bonds Directive were signed in Strasbourg, and will now be published in the OJ.</w:t>
      </w:r>
    </w:p>
    <w:p w:rsidR="00594AA4" w:rsidRPr="00594AA4" w:rsidRDefault="00AE3A4B" w:rsidP="00C5296D">
      <w:pPr>
        <w:rPr>
          <w:rFonts w:ascii="Arial" w:eastAsia="SimSun" w:hAnsi="Arial" w:cs="Arial"/>
          <w:bCs/>
          <w:sz w:val="20"/>
          <w:lang w:eastAsia="zh-CN"/>
        </w:rPr>
      </w:pPr>
      <w:hyperlink r:id="rId20" w:history="1">
        <w:r w:rsidR="00594AA4" w:rsidRPr="00594AA4">
          <w:rPr>
            <w:rStyle w:val="Hyperlink"/>
            <w:rFonts w:ascii="Arial" w:eastAsia="SimSun" w:hAnsi="Arial" w:cs="Arial"/>
            <w:bCs/>
            <w:sz w:val="20"/>
            <w:lang w:eastAsia="zh-CN"/>
          </w:rPr>
          <w:t>Text of Covered Bonds Regulation</w:t>
        </w:r>
      </w:hyperlink>
    </w:p>
    <w:p w:rsidR="00594AA4" w:rsidRDefault="00AE3A4B" w:rsidP="00C5296D">
      <w:pPr>
        <w:rPr>
          <w:rFonts w:ascii="Arial" w:eastAsia="SimSun" w:hAnsi="Arial" w:cs="Arial"/>
          <w:bCs/>
          <w:sz w:val="20"/>
          <w:lang w:eastAsia="zh-CN"/>
        </w:rPr>
      </w:pPr>
      <w:hyperlink r:id="rId21" w:history="1">
        <w:r w:rsidR="00594AA4" w:rsidRPr="00594AA4">
          <w:rPr>
            <w:rStyle w:val="Hyperlink"/>
            <w:rFonts w:ascii="Arial" w:eastAsia="SimSun" w:hAnsi="Arial" w:cs="Arial"/>
            <w:bCs/>
            <w:sz w:val="20"/>
            <w:lang w:eastAsia="zh-CN"/>
          </w:rPr>
          <w:t>Text of Covered Bonds Directive</w:t>
        </w:r>
      </w:hyperlink>
      <w:r w:rsidR="00594AA4" w:rsidRPr="00594AA4">
        <w:rPr>
          <w:rFonts w:ascii="Arial" w:eastAsia="SimSun" w:hAnsi="Arial" w:cs="Arial"/>
          <w:bCs/>
          <w:sz w:val="20"/>
          <w:lang w:eastAsia="zh-CN"/>
        </w:rPr>
        <w:t xml:space="preserve">   </w:t>
      </w:r>
    </w:p>
    <w:p w:rsidR="00594AA4" w:rsidRDefault="00594AA4" w:rsidP="00C5296D">
      <w:pPr>
        <w:rPr>
          <w:rFonts w:ascii="Arial" w:eastAsia="SimSun" w:hAnsi="Arial" w:cs="Arial"/>
          <w:bCs/>
          <w:sz w:val="20"/>
          <w:lang w:eastAsia="zh-CN"/>
        </w:rPr>
      </w:pPr>
    </w:p>
    <w:p w:rsidR="00594AA4" w:rsidRPr="00731339" w:rsidRDefault="00430CDE" w:rsidP="00594AA4">
      <w:pPr>
        <w:rPr>
          <w:rFonts w:ascii="Arial" w:eastAsia="SimSun" w:hAnsi="Arial" w:cs="Arial"/>
          <w:b/>
          <w:bCs/>
          <w:sz w:val="20"/>
          <w:szCs w:val="20"/>
          <w:lang w:eastAsia="zh-CN"/>
        </w:rPr>
      </w:pPr>
      <w:r w:rsidRPr="00731339">
        <w:rPr>
          <w:rFonts w:ascii="Arial" w:eastAsia="SimSun" w:hAnsi="Arial" w:cs="Arial"/>
          <w:b/>
          <w:bCs/>
          <w:sz w:val="20"/>
          <w:szCs w:val="20"/>
          <w:lang w:eastAsia="zh-CN"/>
        </w:rPr>
        <w:t>SME growth market reform regulation signed in Strasbourg</w:t>
      </w:r>
    </w:p>
    <w:p w:rsidR="00594AA4" w:rsidRPr="00430CDE" w:rsidRDefault="00594AA4" w:rsidP="00594AA4">
      <w:pPr>
        <w:rPr>
          <w:rFonts w:ascii="Arial" w:eastAsia="SimSun" w:hAnsi="Arial" w:cs="Arial"/>
          <w:bCs/>
          <w:sz w:val="20"/>
          <w:szCs w:val="20"/>
          <w:lang w:eastAsia="zh-CN"/>
        </w:rPr>
      </w:pPr>
      <w:r w:rsidRPr="00430CDE">
        <w:rPr>
          <w:rFonts w:ascii="Arial" w:eastAsia="SimSun" w:hAnsi="Arial" w:cs="Arial"/>
          <w:bCs/>
          <w:sz w:val="20"/>
          <w:szCs w:val="20"/>
          <w:lang w:eastAsia="zh-CN"/>
        </w:rPr>
        <w:t>On 27 November, the text of the SME growth market reform regulation was signed in Strasbourg, and will now be published in the OJ.</w:t>
      </w:r>
    </w:p>
    <w:p w:rsidR="00594AA4" w:rsidRPr="00594AA4" w:rsidRDefault="00AE3A4B" w:rsidP="00594AA4">
      <w:pPr>
        <w:rPr>
          <w:rFonts w:ascii="Arial" w:eastAsia="SimSun" w:hAnsi="Arial" w:cs="Arial"/>
          <w:bCs/>
          <w:sz w:val="20"/>
          <w:lang w:eastAsia="zh-CN"/>
        </w:rPr>
      </w:pPr>
      <w:hyperlink r:id="rId22" w:history="1">
        <w:r w:rsidR="00594AA4">
          <w:rPr>
            <w:rStyle w:val="Hyperlink"/>
            <w:rFonts w:ascii="Arial" w:eastAsia="SimSun" w:hAnsi="Arial" w:cs="Arial"/>
            <w:bCs/>
            <w:sz w:val="20"/>
            <w:szCs w:val="20"/>
            <w:lang w:eastAsia="zh-CN"/>
          </w:rPr>
          <w:t>Read more</w:t>
        </w:r>
      </w:hyperlink>
    </w:p>
    <w:p w:rsidR="00594AA4" w:rsidRDefault="00594AA4" w:rsidP="00C5296D">
      <w:pPr>
        <w:rPr>
          <w:rFonts w:ascii="Arial" w:eastAsia="SimSun" w:hAnsi="Arial" w:cs="Arial"/>
          <w:b/>
          <w:bCs/>
          <w:sz w:val="20"/>
          <w:lang w:eastAsia="zh-CN"/>
        </w:rPr>
      </w:pPr>
    </w:p>
    <w:p w:rsidR="00F33CB9" w:rsidRPr="00DB2117" w:rsidRDefault="00F33CB9" w:rsidP="00F33CB9">
      <w:pPr>
        <w:rPr>
          <w:rFonts w:ascii="Arial" w:eastAsia="SimSun" w:hAnsi="Arial" w:cs="Arial"/>
          <w:b/>
          <w:bCs/>
          <w:sz w:val="20"/>
          <w:lang w:eastAsia="zh-CN"/>
        </w:rPr>
      </w:pPr>
      <w:r w:rsidRPr="00DB2117">
        <w:rPr>
          <w:rFonts w:ascii="Arial" w:eastAsia="SimSun" w:hAnsi="Arial" w:cs="Arial"/>
          <w:b/>
          <w:bCs/>
          <w:sz w:val="20"/>
          <w:lang w:eastAsia="zh-CN"/>
        </w:rPr>
        <w:t xml:space="preserve">FSB updates regulatory framework for haircuts on non-centrally cleared </w:t>
      </w:r>
      <w:r>
        <w:rPr>
          <w:rFonts w:ascii="Arial" w:eastAsia="SimSun" w:hAnsi="Arial" w:cs="Arial"/>
          <w:b/>
          <w:bCs/>
          <w:sz w:val="20"/>
          <w:lang w:eastAsia="zh-CN"/>
        </w:rPr>
        <w:t>securities financing transactions (</w:t>
      </w:r>
      <w:r w:rsidRPr="00DB2117">
        <w:rPr>
          <w:rFonts w:ascii="Arial" w:eastAsia="SimSun" w:hAnsi="Arial" w:cs="Arial"/>
          <w:b/>
          <w:bCs/>
          <w:sz w:val="20"/>
          <w:lang w:eastAsia="zh-CN"/>
        </w:rPr>
        <w:t>SFTs</w:t>
      </w:r>
      <w:r>
        <w:rPr>
          <w:rFonts w:ascii="Arial" w:eastAsia="SimSun" w:hAnsi="Arial" w:cs="Arial"/>
          <w:b/>
          <w:bCs/>
          <w:sz w:val="20"/>
          <w:lang w:eastAsia="zh-CN"/>
        </w:rPr>
        <w:t>)</w:t>
      </w:r>
    </w:p>
    <w:p w:rsidR="00F33CB9" w:rsidRDefault="00F33CB9" w:rsidP="00F33CB9">
      <w:pPr>
        <w:rPr>
          <w:rFonts w:ascii="Arial" w:eastAsia="SimSun" w:hAnsi="Arial" w:cs="Arial"/>
          <w:bCs/>
          <w:sz w:val="20"/>
          <w:lang w:eastAsia="zh-CN"/>
        </w:rPr>
      </w:pPr>
      <w:r w:rsidRPr="00DB2117">
        <w:rPr>
          <w:rFonts w:ascii="Arial" w:eastAsia="SimSun" w:hAnsi="Arial" w:cs="Arial"/>
          <w:bCs/>
          <w:sz w:val="20"/>
          <w:lang w:eastAsia="zh-CN"/>
        </w:rPr>
        <w:t>On 26 November,</w:t>
      </w:r>
      <w:r>
        <w:rPr>
          <w:rFonts w:ascii="Arial" w:eastAsia="SimSun" w:hAnsi="Arial" w:cs="Arial"/>
          <w:bCs/>
          <w:sz w:val="20"/>
          <w:lang w:eastAsia="zh-CN"/>
        </w:rPr>
        <w:t xml:space="preserve"> the FSB </w:t>
      </w:r>
      <w:r w:rsidRPr="00DB2117">
        <w:rPr>
          <w:rFonts w:ascii="Arial" w:eastAsia="SimSun" w:hAnsi="Arial" w:cs="Arial"/>
          <w:bCs/>
          <w:sz w:val="20"/>
          <w:lang w:eastAsia="zh-CN"/>
        </w:rPr>
        <w:t>p</w:t>
      </w:r>
      <w:r>
        <w:rPr>
          <w:rFonts w:ascii="Arial" w:eastAsia="SimSun" w:hAnsi="Arial" w:cs="Arial"/>
          <w:bCs/>
          <w:sz w:val="20"/>
          <w:lang w:eastAsia="zh-CN"/>
        </w:rPr>
        <w:t>ublished an updated version</w:t>
      </w:r>
      <w:r w:rsidRPr="00DB2117">
        <w:rPr>
          <w:rFonts w:ascii="Arial" w:eastAsia="SimSun" w:hAnsi="Arial" w:cs="Arial"/>
          <w:bCs/>
          <w:sz w:val="20"/>
          <w:lang w:eastAsia="zh-CN"/>
        </w:rPr>
        <w:t xml:space="preserve"> of its regulatory framework for haircuts on non-centrall</w:t>
      </w:r>
      <w:r>
        <w:rPr>
          <w:rFonts w:ascii="Arial" w:eastAsia="SimSun" w:hAnsi="Arial" w:cs="Arial"/>
          <w:bCs/>
          <w:sz w:val="20"/>
          <w:lang w:eastAsia="zh-CN"/>
        </w:rPr>
        <w:t>y-cleared SFTs</w:t>
      </w:r>
      <w:r w:rsidRPr="00DB2117">
        <w:rPr>
          <w:rFonts w:ascii="Arial" w:eastAsia="SimSun" w:hAnsi="Arial" w:cs="Arial"/>
          <w:bCs/>
          <w:sz w:val="20"/>
          <w:lang w:eastAsia="zh-CN"/>
        </w:rPr>
        <w:t>.</w:t>
      </w:r>
      <w:r>
        <w:rPr>
          <w:rFonts w:ascii="Arial" w:eastAsia="SimSun" w:hAnsi="Arial" w:cs="Arial"/>
          <w:bCs/>
          <w:sz w:val="20"/>
          <w:lang w:eastAsia="zh-CN"/>
        </w:rPr>
        <w:t xml:space="preserve"> </w:t>
      </w:r>
      <w:r w:rsidRPr="00CD1BBF">
        <w:rPr>
          <w:rFonts w:ascii="Arial" w:eastAsia="SimSun" w:hAnsi="Arial" w:cs="Arial"/>
          <w:bCs/>
          <w:sz w:val="20"/>
          <w:lang w:eastAsia="zh-CN"/>
        </w:rPr>
        <w:t>The framework consists of 18 policy recommendations for addressing financial stability risks relating to SFTs.</w:t>
      </w:r>
      <w:r>
        <w:rPr>
          <w:rFonts w:ascii="Arial" w:eastAsia="SimSun" w:hAnsi="Arial" w:cs="Arial"/>
          <w:bCs/>
          <w:sz w:val="20"/>
          <w:lang w:eastAsia="zh-CN"/>
        </w:rPr>
        <w:t xml:space="preserve"> Annexes 2, 3 and 4 have been updated and the text has been revised to take account of the revised deadlines that were announced in July.</w:t>
      </w:r>
    </w:p>
    <w:p w:rsidR="00F33CB9" w:rsidRDefault="00AE3A4B" w:rsidP="00C5296D">
      <w:pPr>
        <w:rPr>
          <w:rFonts w:ascii="Arial" w:eastAsia="SimSun" w:hAnsi="Arial" w:cs="Arial"/>
          <w:bCs/>
          <w:sz w:val="20"/>
          <w:lang w:eastAsia="zh-CN"/>
        </w:rPr>
      </w:pPr>
      <w:hyperlink r:id="rId23" w:history="1">
        <w:r w:rsidR="00F33CB9">
          <w:rPr>
            <w:rStyle w:val="Hyperlink"/>
            <w:rFonts w:ascii="Arial" w:eastAsia="SimSun" w:hAnsi="Arial" w:cs="Arial"/>
            <w:bCs/>
            <w:sz w:val="20"/>
            <w:lang w:eastAsia="zh-CN"/>
          </w:rPr>
          <w:t>Read more</w:t>
        </w:r>
      </w:hyperlink>
      <w:r w:rsidR="00F33CB9">
        <w:rPr>
          <w:rFonts w:ascii="Arial" w:eastAsia="SimSun" w:hAnsi="Arial" w:cs="Arial"/>
          <w:bCs/>
          <w:sz w:val="20"/>
          <w:lang w:eastAsia="zh-CN"/>
        </w:rPr>
        <w:t xml:space="preserve"> </w:t>
      </w:r>
    </w:p>
    <w:p w:rsidR="00BD6413" w:rsidRDefault="00BD6413" w:rsidP="00C5296D">
      <w:pPr>
        <w:rPr>
          <w:rFonts w:ascii="Arial" w:eastAsia="SimSun" w:hAnsi="Arial" w:cs="Arial"/>
          <w:bCs/>
          <w:sz w:val="20"/>
          <w:lang w:eastAsia="zh-CN"/>
        </w:rPr>
      </w:pPr>
    </w:p>
    <w:p w:rsidR="007D0335" w:rsidRPr="00F33CB9" w:rsidRDefault="007D0335" w:rsidP="00C5296D">
      <w:pPr>
        <w:rPr>
          <w:rFonts w:ascii="Arial" w:eastAsia="SimSun" w:hAnsi="Arial" w:cs="Arial"/>
          <w:bCs/>
          <w:sz w:val="20"/>
          <w:lang w:eastAsia="zh-CN"/>
        </w:rPr>
      </w:pPr>
      <w:r w:rsidRPr="007D0335">
        <w:rPr>
          <w:rFonts w:ascii="Arial" w:eastAsia="SimSun" w:hAnsi="Arial" w:cs="Arial"/>
          <w:b/>
          <w:bCs/>
          <w:sz w:val="20"/>
          <w:lang w:eastAsia="zh-CN"/>
        </w:rPr>
        <w:t>BoE: Minutes of the London FXJSC Legal Sub-Committee Meeting</w:t>
      </w:r>
    </w:p>
    <w:p w:rsidR="007D0335" w:rsidRDefault="007D0335" w:rsidP="00C5296D">
      <w:pPr>
        <w:rPr>
          <w:rFonts w:ascii="Arial" w:eastAsia="SimSun" w:hAnsi="Arial" w:cs="Arial"/>
          <w:bCs/>
          <w:sz w:val="20"/>
          <w:lang w:eastAsia="zh-CN"/>
        </w:rPr>
      </w:pPr>
      <w:r>
        <w:rPr>
          <w:rFonts w:ascii="Arial" w:eastAsia="SimSun" w:hAnsi="Arial" w:cs="Arial"/>
          <w:bCs/>
          <w:sz w:val="20"/>
          <w:lang w:eastAsia="zh-CN"/>
        </w:rPr>
        <w:lastRenderedPageBreak/>
        <w:t xml:space="preserve">On 22 November, the BoE published minutes from the September 2019 meeting which considered: (i) the FX Global Code and what topics the FX Joint Standing Committee (FXJSC) would propose for the three year review taking place next year; (ii) the role of CLS in the FX market; and (iii) the measures being taken by HM Treasury and the FCA in relation to FX as a result of Brexit. </w:t>
      </w:r>
    </w:p>
    <w:p w:rsidR="007D0335" w:rsidRDefault="00AE3A4B" w:rsidP="00C5296D">
      <w:pPr>
        <w:rPr>
          <w:rFonts w:ascii="Arial" w:eastAsia="SimSun" w:hAnsi="Arial" w:cs="Arial"/>
          <w:bCs/>
          <w:sz w:val="20"/>
          <w:lang w:eastAsia="zh-CN"/>
        </w:rPr>
      </w:pPr>
      <w:hyperlink r:id="rId24" w:history="1">
        <w:r w:rsidR="007D0335" w:rsidRPr="007D0335">
          <w:rPr>
            <w:rStyle w:val="Hyperlink"/>
            <w:rFonts w:ascii="Arial" w:eastAsia="SimSun" w:hAnsi="Arial" w:cs="Arial"/>
            <w:bCs/>
            <w:sz w:val="20"/>
            <w:lang w:eastAsia="zh-CN"/>
          </w:rPr>
          <w:t>Read more</w:t>
        </w:r>
      </w:hyperlink>
    </w:p>
    <w:p w:rsidR="007D0335" w:rsidRDefault="007D0335" w:rsidP="00C5296D">
      <w:pPr>
        <w:rPr>
          <w:rFonts w:ascii="Arial" w:eastAsia="SimSun" w:hAnsi="Arial" w:cs="Arial"/>
          <w:bCs/>
          <w:sz w:val="20"/>
          <w:lang w:eastAsia="zh-CN"/>
        </w:rPr>
      </w:pPr>
    </w:p>
    <w:p w:rsidR="007D0335" w:rsidRPr="007D0335" w:rsidRDefault="007D0335" w:rsidP="00C5296D">
      <w:pPr>
        <w:rPr>
          <w:rFonts w:ascii="Arial" w:eastAsia="SimSun" w:hAnsi="Arial" w:cs="Arial"/>
          <w:b/>
          <w:bCs/>
          <w:sz w:val="20"/>
          <w:lang w:eastAsia="zh-CN"/>
        </w:rPr>
      </w:pPr>
      <w:r w:rsidRPr="007D0335">
        <w:rPr>
          <w:rFonts w:ascii="Arial" w:eastAsia="SimSun" w:hAnsi="Arial" w:cs="Arial"/>
          <w:b/>
          <w:bCs/>
          <w:sz w:val="20"/>
          <w:lang w:eastAsia="zh-CN"/>
        </w:rPr>
        <w:t xml:space="preserve">BoE: Minutes of the Working Group on Sterling Risk-Free Reference Rates </w:t>
      </w:r>
    </w:p>
    <w:p w:rsidR="007D0335" w:rsidRDefault="007D0335" w:rsidP="00C5296D">
      <w:pPr>
        <w:pStyle w:val="Default"/>
        <w:jc w:val="both"/>
        <w:rPr>
          <w:rFonts w:eastAsia="SimSun"/>
          <w:bCs/>
          <w:sz w:val="20"/>
          <w:lang w:eastAsia="zh-CN"/>
        </w:rPr>
      </w:pPr>
      <w:r>
        <w:rPr>
          <w:rFonts w:eastAsia="SimSun"/>
          <w:bCs/>
          <w:sz w:val="20"/>
          <w:lang w:eastAsia="zh-CN"/>
        </w:rPr>
        <w:t>On 22 November, the BoE published minutes from September which considered: (i) an up</w:t>
      </w:r>
      <w:r>
        <w:rPr>
          <w:sz w:val="20"/>
          <w:szCs w:val="20"/>
        </w:rPr>
        <w:t xml:space="preserve">date on OIS quote streaming; (ii) the working group priorities for the remainder of 2019; </w:t>
      </w:r>
      <w:r w:rsidR="00C5296D">
        <w:rPr>
          <w:sz w:val="20"/>
          <w:szCs w:val="20"/>
        </w:rPr>
        <w:t xml:space="preserve">and </w:t>
      </w:r>
      <w:r>
        <w:rPr>
          <w:sz w:val="20"/>
          <w:szCs w:val="20"/>
        </w:rPr>
        <w:t>(iii)</w:t>
      </w:r>
      <w:r w:rsidR="00C5296D">
        <w:rPr>
          <w:sz w:val="20"/>
          <w:szCs w:val="20"/>
        </w:rPr>
        <w:t xml:space="preserve"> </w:t>
      </w:r>
      <w:r>
        <w:rPr>
          <w:sz w:val="20"/>
          <w:szCs w:val="20"/>
        </w:rPr>
        <w:t>an update on the ISDA</w:t>
      </w:r>
      <w:r w:rsidR="00C5296D">
        <w:rPr>
          <w:sz w:val="20"/>
          <w:szCs w:val="20"/>
        </w:rPr>
        <w:t xml:space="preserve"> </w:t>
      </w:r>
      <w:r>
        <w:rPr>
          <w:sz w:val="20"/>
          <w:szCs w:val="20"/>
        </w:rPr>
        <w:t xml:space="preserve">consultation process </w:t>
      </w:r>
      <w:r w:rsidR="00C5296D">
        <w:rPr>
          <w:sz w:val="20"/>
          <w:szCs w:val="20"/>
        </w:rPr>
        <w:t>in relation to p</w:t>
      </w:r>
      <w:r>
        <w:rPr>
          <w:sz w:val="20"/>
          <w:szCs w:val="20"/>
        </w:rPr>
        <w:t xml:space="preserve">re-cessation triggers </w:t>
      </w:r>
      <w:r w:rsidR="00C5296D">
        <w:rPr>
          <w:sz w:val="20"/>
          <w:szCs w:val="20"/>
        </w:rPr>
        <w:t>and p</w:t>
      </w:r>
      <w:r>
        <w:rPr>
          <w:sz w:val="20"/>
          <w:szCs w:val="20"/>
        </w:rPr>
        <w:t>arameterisation</w:t>
      </w:r>
      <w:r w:rsidR="00C5296D">
        <w:rPr>
          <w:sz w:val="20"/>
          <w:szCs w:val="20"/>
        </w:rPr>
        <w:t xml:space="preserve">. </w:t>
      </w:r>
    </w:p>
    <w:p w:rsidR="007D0335" w:rsidRDefault="00AE3A4B" w:rsidP="00004116">
      <w:pPr>
        <w:rPr>
          <w:rFonts w:ascii="Arial" w:eastAsia="SimSun" w:hAnsi="Arial" w:cs="Arial"/>
          <w:bCs/>
          <w:sz w:val="20"/>
          <w:lang w:eastAsia="zh-CN"/>
        </w:rPr>
      </w:pPr>
      <w:hyperlink r:id="rId25" w:history="1">
        <w:r w:rsidR="007D0335" w:rsidRPr="007D0335">
          <w:rPr>
            <w:rStyle w:val="Hyperlink"/>
            <w:rFonts w:ascii="Arial" w:eastAsia="SimSun" w:hAnsi="Arial" w:cs="Arial"/>
            <w:bCs/>
            <w:sz w:val="20"/>
            <w:lang w:eastAsia="zh-CN"/>
          </w:rPr>
          <w:t>Read more</w:t>
        </w:r>
      </w:hyperlink>
    </w:p>
    <w:p w:rsidR="007D0335" w:rsidRDefault="007D0335" w:rsidP="00004116">
      <w:pPr>
        <w:rPr>
          <w:rFonts w:ascii="Arial" w:eastAsia="SimSun" w:hAnsi="Arial" w:cs="Arial"/>
          <w:bCs/>
          <w:sz w:val="20"/>
          <w:lang w:eastAsia="zh-CN"/>
        </w:rPr>
      </w:pPr>
    </w:p>
    <w:p w:rsidR="00DA297D" w:rsidRPr="00DA297D" w:rsidRDefault="00DA297D" w:rsidP="00004116">
      <w:pPr>
        <w:rPr>
          <w:rFonts w:ascii="Arial" w:eastAsia="SimSun" w:hAnsi="Arial" w:cs="Arial"/>
          <w:b/>
          <w:bCs/>
          <w:color w:val="800000"/>
          <w:sz w:val="20"/>
          <w:lang w:eastAsia="zh-CN"/>
        </w:rPr>
      </w:pPr>
      <w:r w:rsidRPr="00DA297D">
        <w:rPr>
          <w:rFonts w:ascii="Arial" w:eastAsia="SimSun" w:hAnsi="Arial" w:cs="Arial"/>
          <w:b/>
          <w:bCs/>
          <w:color w:val="800000"/>
          <w:sz w:val="20"/>
          <w:lang w:eastAsia="zh-CN"/>
        </w:rPr>
        <w:t>PAYMENT SERVICES AND PAYMENT SYSTEMS</w:t>
      </w:r>
    </w:p>
    <w:p w:rsidR="00DA297D" w:rsidRDefault="00DA297D" w:rsidP="00004116">
      <w:pPr>
        <w:rPr>
          <w:rFonts w:ascii="Arial" w:eastAsia="SimSun" w:hAnsi="Arial" w:cs="Arial"/>
          <w:bCs/>
          <w:sz w:val="20"/>
          <w:lang w:eastAsia="zh-CN"/>
        </w:rPr>
      </w:pPr>
    </w:p>
    <w:p w:rsidR="00D946A6" w:rsidRDefault="004277E7" w:rsidP="00003306">
      <w:pPr>
        <w:rPr>
          <w:rFonts w:ascii="Arial" w:eastAsia="SimSun" w:hAnsi="Arial" w:cs="Arial"/>
          <w:bCs/>
          <w:sz w:val="20"/>
          <w:lang w:eastAsia="zh-CN"/>
        </w:rPr>
      </w:pPr>
      <w:r w:rsidRPr="004277E7">
        <w:rPr>
          <w:rFonts w:ascii="Arial" w:eastAsia="SimSun" w:hAnsi="Arial" w:cs="Arial"/>
          <w:bCs/>
          <w:sz w:val="20"/>
          <w:lang w:eastAsia="zh-CN"/>
        </w:rPr>
        <w:t>Please see the Financial Crime section for an update on the Payment Service Providers (PSPs) extend code for reimbursement of victims of Authorised Push Payment (APP) scams.</w:t>
      </w:r>
    </w:p>
    <w:p w:rsidR="00731339" w:rsidRDefault="00731339" w:rsidP="00003306">
      <w:pPr>
        <w:rPr>
          <w:rFonts w:ascii="Arial" w:eastAsia="SimSun" w:hAnsi="Arial" w:cs="Arial"/>
          <w:bCs/>
          <w:sz w:val="20"/>
          <w:lang w:eastAsia="zh-CN"/>
        </w:rPr>
      </w:pPr>
    </w:p>
    <w:p w:rsidR="00731339" w:rsidRPr="00731339" w:rsidRDefault="00731339" w:rsidP="00731339">
      <w:pPr>
        <w:rPr>
          <w:rFonts w:ascii="Arial" w:eastAsia="SimSun" w:hAnsi="Arial" w:cs="Arial"/>
          <w:bCs/>
          <w:sz w:val="20"/>
          <w:szCs w:val="20"/>
          <w:lang w:eastAsia="zh-CN"/>
        </w:rPr>
      </w:pPr>
      <w:r w:rsidRPr="00731339">
        <w:rPr>
          <w:rFonts w:ascii="Arial" w:eastAsia="SimSun" w:hAnsi="Arial" w:cs="Arial"/>
          <w:bCs/>
          <w:sz w:val="20"/>
          <w:szCs w:val="20"/>
          <w:lang w:eastAsia="zh-CN"/>
        </w:rPr>
        <w:t>Please see the Other Developments section for an update on the EBA’s final report on guidelines regarding ICT and security risk management.</w:t>
      </w:r>
    </w:p>
    <w:p w:rsidR="00D946A6" w:rsidRDefault="00D946A6" w:rsidP="006C0C34">
      <w:pPr>
        <w:rPr>
          <w:rFonts w:ascii="Arial" w:eastAsia="SimSun" w:hAnsi="Arial" w:cs="Arial"/>
          <w:b/>
          <w:bCs/>
          <w:sz w:val="20"/>
          <w:lang w:eastAsia="zh-CN"/>
        </w:rPr>
      </w:pPr>
    </w:p>
    <w:p w:rsidR="006C0C34" w:rsidRPr="006C0C34" w:rsidRDefault="006C0C34" w:rsidP="006C0C34">
      <w:pPr>
        <w:rPr>
          <w:rFonts w:ascii="Arial" w:eastAsia="SimSun" w:hAnsi="Arial" w:cs="Arial"/>
          <w:b/>
          <w:bCs/>
          <w:sz w:val="20"/>
          <w:lang w:eastAsia="zh-CN"/>
        </w:rPr>
      </w:pPr>
      <w:r>
        <w:rPr>
          <w:rFonts w:ascii="Arial" w:eastAsia="SimSun" w:hAnsi="Arial" w:cs="Arial"/>
          <w:b/>
          <w:bCs/>
          <w:sz w:val="20"/>
          <w:lang w:eastAsia="zh-CN"/>
        </w:rPr>
        <w:t xml:space="preserve">ECB speech on </w:t>
      </w:r>
      <w:r w:rsidR="00E717F8">
        <w:rPr>
          <w:rFonts w:ascii="Arial" w:eastAsia="SimSun" w:hAnsi="Arial" w:cs="Arial"/>
          <w:b/>
          <w:bCs/>
          <w:sz w:val="20"/>
          <w:lang w:eastAsia="zh-CN"/>
        </w:rPr>
        <w:t>the re-launched</w:t>
      </w:r>
      <w:r w:rsidRPr="006C0C34">
        <w:rPr>
          <w:rFonts w:ascii="Arial" w:eastAsia="SimSun" w:hAnsi="Arial" w:cs="Arial"/>
          <w:b/>
          <w:bCs/>
          <w:sz w:val="20"/>
          <w:lang w:eastAsia="zh-CN"/>
        </w:rPr>
        <w:t xml:space="preserve"> retail payments strategy</w:t>
      </w:r>
    </w:p>
    <w:p w:rsidR="006C0C34" w:rsidRPr="006C0C34" w:rsidRDefault="006C0C34" w:rsidP="006C0C34">
      <w:pPr>
        <w:rPr>
          <w:rFonts w:ascii="Arial" w:eastAsia="SimSun" w:hAnsi="Arial" w:cs="Arial"/>
          <w:bCs/>
          <w:sz w:val="20"/>
          <w:lang w:eastAsia="zh-CN"/>
        </w:rPr>
      </w:pPr>
      <w:r w:rsidRPr="006C0C34">
        <w:rPr>
          <w:rFonts w:ascii="Arial" w:eastAsia="SimSun" w:hAnsi="Arial" w:cs="Arial"/>
          <w:bCs/>
          <w:sz w:val="20"/>
          <w:lang w:eastAsia="zh-CN"/>
        </w:rPr>
        <w:t>On 26 November</w:t>
      </w:r>
      <w:r>
        <w:rPr>
          <w:rFonts w:ascii="Arial" w:eastAsia="SimSun" w:hAnsi="Arial" w:cs="Arial"/>
          <w:bCs/>
          <w:sz w:val="20"/>
          <w:lang w:eastAsia="zh-CN"/>
        </w:rPr>
        <w:t>, the ECB</w:t>
      </w:r>
      <w:r w:rsidRPr="006C0C34">
        <w:rPr>
          <w:rFonts w:ascii="Arial" w:eastAsia="SimSun" w:hAnsi="Arial" w:cs="Arial"/>
          <w:bCs/>
          <w:sz w:val="20"/>
          <w:lang w:eastAsia="zh-CN"/>
        </w:rPr>
        <w:t xml:space="preserve"> published a speech by </w:t>
      </w:r>
      <w:proofErr w:type="spellStart"/>
      <w:r w:rsidRPr="006C0C34">
        <w:rPr>
          <w:rFonts w:ascii="Arial" w:eastAsia="SimSun" w:hAnsi="Arial" w:cs="Arial"/>
          <w:bCs/>
          <w:sz w:val="20"/>
          <w:lang w:eastAsia="zh-CN"/>
        </w:rPr>
        <w:t>Benoît</w:t>
      </w:r>
      <w:proofErr w:type="spellEnd"/>
      <w:r w:rsidRPr="006C0C34">
        <w:rPr>
          <w:rFonts w:ascii="Arial" w:eastAsia="SimSun" w:hAnsi="Arial" w:cs="Arial"/>
          <w:bCs/>
          <w:sz w:val="20"/>
          <w:lang w:eastAsia="zh-CN"/>
        </w:rPr>
        <w:t xml:space="preserve"> </w:t>
      </w:r>
      <w:proofErr w:type="spellStart"/>
      <w:r w:rsidRPr="006C0C34">
        <w:rPr>
          <w:rFonts w:ascii="Arial" w:eastAsia="SimSun" w:hAnsi="Arial" w:cs="Arial"/>
          <w:bCs/>
          <w:sz w:val="20"/>
          <w:lang w:eastAsia="zh-CN"/>
        </w:rPr>
        <w:t>Cœuré</w:t>
      </w:r>
      <w:proofErr w:type="spellEnd"/>
      <w:r w:rsidRPr="006C0C34">
        <w:rPr>
          <w:rFonts w:ascii="Arial" w:eastAsia="SimSun" w:hAnsi="Arial" w:cs="Arial"/>
          <w:bCs/>
          <w:sz w:val="20"/>
          <w:lang w:eastAsia="zh-CN"/>
        </w:rPr>
        <w:t xml:space="preserve">, ECB executive board member, on the objectives of pan-European market initiatives for retail payments. Mr </w:t>
      </w:r>
      <w:proofErr w:type="spellStart"/>
      <w:r w:rsidRPr="006C0C34">
        <w:rPr>
          <w:rFonts w:ascii="Arial" w:eastAsia="SimSun" w:hAnsi="Arial" w:cs="Arial"/>
          <w:bCs/>
          <w:sz w:val="20"/>
          <w:lang w:eastAsia="zh-CN"/>
        </w:rPr>
        <w:t>Cœuré</w:t>
      </w:r>
      <w:proofErr w:type="spellEnd"/>
      <w:r w:rsidRPr="006C0C34">
        <w:rPr>
          <w:rFonts w:ascii="Arial" w:eastAsia="SimSun" w:hAnsi="Arial" w:cs="Arial"/>
          <w:bCs/>
          <w:sz w:val="20"/>
          <w:lang w:eastAsia="zh-CN"/>
        </w:rPr>
        <w:t xml:space="preserve"> </w:t>
      </w:r>
      <w:r>
        <w:rPr>
          <w:rFonts w:ascii="Arial" w:eastAsia="SimSun" w:hAnsi="Arial" w:cs="Arial"/>
          <w:bCs/>
          <w:sz w:val="20"/>
          <w:lang w:eastAsia="zh-CN"/>
        </w:rPr>
        <w:t>states</w:t>
      </w:r>
      <w:r w:rsidRPr="006C0C34">
        <w:rPr>
          <w:rFonts w:ascii="Arial" w:eastAsia="SimSun" w:hAnsi="Arial" w:cs="Arial"/>
          <w:bCs/>
          <w:sz w:val="20"/>
          <w:lang w:eastAsia="zh-CN"/>
        </w:rPr>
        <w:t xml:space="preserve"> that due to a lack of attention from policymakers, there is considerable fragmentation in</w:t>
      </w:r>
      <w:r>
        <w:rPr>
          <w:rFonts w:ascii="Arial" w:eastAsia="SimSun" w:hAnsi="Arial" w:cs="Arial"/>
          <w:bCs/>
          <w:sz w:val="20"/>
          <w:lang w:eastAsia="zh-CN"/>
        </w:rPr>
        <w:t xml:space="preserve"> relation to point of sale</w:t>
      </w:r>
      <w:r w:rsidRPr="006C0C34">
        <w:rPr>
          <w:rFonts w:ascii="Arial" w:eastAsia="SimSun" w:hAnsi="Arial" w:cs="Arial"/>
          <w:bCs/>
          <w:sz w:val="20"/>
          <w:lang w:eastAsia="zh-CN"/>
        </w:rPr>
        <w:t xml:space="preserve"> and online payments and no EU-wide card payment scheme. The ECB is concerned at the potential risks in relation to investor protection and financial resilience and competitiveness of European systems arising from a dependence on non-European systems. It has therefore re-launched its retail payments strategy, focusing on fostering market initiatives for payment systems that are: pan-European, user-friendly, cost-efficient, safe, secure and accessible to non EU merchants. </w:t>
      </w:r>
    </w:p>
    <w:p w:rsidR="006C0C34" w:rsidRPr="006C0C34" w:rsidRDefault="00AE3A4B" w:rsidP="006C0C34">
      <w:pPr>
        <w:rPr>
          <w:rFonts w:ascii="Arial" w:eastAsia="SimSun" w:hAnsi="Arial" w:cs="Arial"/>
          <w:bCs/>
          <w:sz w:val="20"/>
          <w:lang w:eastAsia="zh-CN"/>
        </w:rPr>
      </w:pPr>
      <w:hyperlink r:id="rId26" w:anchor="footnote.3" w:history="1">
        <w:r w:rsidR="006C0C34" w:rsidRPr="006C0C34">
          <w:rPr>
            <w:rStyle w:val="Hyperlink"/>
            <w:rFonts w:ascii="Arial" w:eastAsia="SimSun" w:hAnsi="Arial" w:cs="Arial"/>
            <w:bCs/>
            <w:sz w:val="20"/>
            <w:lang w:eastAsia="zh-CN"/>
          </w:rPr>
          <w:t>Read More</w:t>
        </w:r>
      </w:hyperlink>
    </w:p>
    <w:p w:rsidR="00004116" w:rsidRDefault="00004116" w:rsidP="008D380E">
      <w:pPr>
        <w:rPr>
          <w:rFonts w:ascii="Arial" w:eastAsia="SimSun" w:hAnsi="Arial" w:cs="Arial"/>
          <w:b/>
          <w:bCs/>
          <w:sz w:val="20"/>
          <w:lang w:eastAsia="zh-CN"/>
        </w:rPr>
      </w:pPr>
    </w:p>
    <w:p w:rsidR="00004116" w:rsidRDefault="00004116" w:rsidP="008D380E">
      <w:pPr>
        <w:rPr>
          <w:rFonts w:ascii="Arial" w:eastAsia="SimSun" w:hAnsi="Arial" w:cs="Arial"/>
          <w:b/>
          <w:bCs/>
          <w:color w:val="800000"/>
          <w:sz w:val="20"/>
          <w:lang w:eastAsia="zh-CN"/>
        </w:rPr>
      </w:pPr>
      <w:r w:rsidRPr="00E35527">
        <w:rPr>
          <w:rFonts w:ascii="Arial" w:eastAsia="SimSun" w:hAnsi="Arial" w:cs="Arial"/>
          <w:b/>
          <w:bCs/>
          <w:color w:val="800000"/>
          <w:sz w:val="20"/>
          <w:lang w:eastAsia="zh-CN"/>
        </w:rPr>
        <w:t>PRU</w:t>
      </w:r>
      <w:r w:rsidR="00E35527" w:rsidRPr="00E35527">
        <w:rPr>
          <w:rFonts w:ascii="Arial" w:eastAsia="SimSun" w:hAnsi="Arial" w:cs="Arial"/>
          <w:b/>
          <w:bCs/>
          <w:color w:val="800000"/>
          <w:sz w:val="20"/>
          <w:lang w:eastAsia="zh-CN"/>
        </w:rPr>
        <w:t>DENTIAL REGULATION</w:t>
      </w:r>
    </w:p>
    <w:p w:rsidR="00E67184" w:rsidRDefault="00E67184" w:rsidP="008D380E">
      <w:pPr>
        <w:rPr>
          <w:rFonts w:ascii="Arial" w:eastAsia="SimSun" w:hAnsi="Arial" w:cs="Arial"/>
          <w:b/>
          <w:bCs/>
          <w:color w:val="800000"/>
          <w:sz w:val="20"/>
          <w:lang w:eastAsia="zh-CN"/>
        </w:rPr>
      </w:pPr>
    </w:p>
    <w:p w:rsidR="00E67184" w:rsidRDefault="00E67184" w:rsidP="008D380E">
      <w:pPr>
        <w:rPr>
          <w:rFonts w:ascii="Arial" w:eastAsia="SimSun" w:hAnsi="Arial" w:cs="Arial"/>
          <w:bCs/>
          <w:sz w:val="20"/>
          <w:lang w:eastAsia="zh-CN"/>
        </w:rPr>
      </w:pPr>
      <w:r w:rsidRPr="00E67184">
        <w:rPr>
          <w:rFonts w:ascii="Arial" w:eastAsia="SimSun" w:hAnsi="Arial" w:cs="Arial"/>
          <w:bCs/>
          <w:sz w:val="20"/>
          <w:lang w:eastAsia="zh-CN"/>
        </w:rPr>
        <w:t xml:space="preserve">Please see the Markets and Markets Infrastructure section for an update on the Covered Bonds Directive and </w:t>
      </w:r>
      <w:r w:rsidR="00F33CB9">
        <w:rPr>
          <w:rFonts w:ascii="Arial" w:eastAsia="SimSun" w:hAnsi="Arial" w:cs="Arial"/>
          <w:bCs/>
          <w:sz w:val="20"/>
          <w:lang w:eastAsia="zh-CN"/>
        </w:rPr>
        <w:t>Regulation</w:t>
      </w:r>
      <w:r w:rsidRPr="00E67184">
        <w:rPr>
          <w:rFonts w:ascii="Arial" w:eastAsia="SimSun" w:hAnsi="Arial" w:cs="Arial"/>
          <w:bCs/>
          <w:sz w:val="20"/>
          <w:lang w:eastAsia="zh-CN"/>
        </w:rPr>
        <w:t>.</w:t>
      </w:r>
    </w:p>
    <w:p w:rsidR="00731339" w:rsidRDefault="00731339" w:rsidP="008D380E">
      <w:pPr>
        <w:rPr>
          <w:rFonts w:ascii="Arial" w:eastAsia="SimSun" w:hAnsi="Arial" w:cs="Arial"/>
          <w:bCs/>
          <w:sz w:val="20"/>
          <w:lang w:eastAsia="zh-CN"/>
        </w:rPr>
      </w:pPr>
    </w:p>
    <w:p w:rsidR="00731339" w:rsidRPr="00731339" w:rsidRDefault="00731339" w:rsidP="008D380E">
      <w:pPr>
        <w:rPr>
          <w:rFonts w:ascii="Arial" w:eastAsia="SimSun" w:hAnsi="Arial" w:cs="Arial"/>
          <w:bCs/>
          <w:sz w:val="20"/>
          <w:szCs w:val="20"/>
          <w:lang w:eastAsia="zh-CN"/>
        </w:rPr>
      </w:pPr>
      <w:r w:rsidRPr="00731339">
        <w:rPr>
          <w:rFonts w:ascii="Arial" w:eastAsia="SimSun" w:hAnsi="Arial" w:cs="Arial"/>
          <w:bCs/>
          <w:sz w:val="20"/>
          <w:szCs w:val="20"/>
          <w:lang w:eastAsia="zh-CN"/>
        </w:rPr>
        <w:t>Please see the Other Developments section for an update on the EBA’s final report on guidelines regarding ICT and security risk management.</w:t>
      </w:r>
    </w:p>
    <w:p w:rsidR="00E35527" w:rsidRDefault="00E35527" w:rsidP="008D380E">
      <w:pPr>
        <w:rPr>
          <w:rFonts w:ascii="Arial" w:eastAsia="SimSun" w:hAnsi="Arial" w:cs="Arial"/>
          <w:b/>
          <w:bCs/>
          <w:sz w:val="20"/>
          <w:lang w:eastAsia="zh-CN"/>
        </w:rPr>
      </w:pPr>
    </w:p>
    <w:p w:rsidR="00003306" w:rsidRPr="00003306" w:rsidRDefault="00017114" w:rsidP="00003306">
      <w:pPr>
        <w:rPr>
          <w:rFonts w:ascii="Arial" w:eastAsia="SimSun" w:hAnsi="Arial" w:cs="Arial"/>
          <w:b/>
          <w:bCs/>
          <w:sz w:val="20"/>
          <w:lang w:eastAsia="zh-CN"/>
        </w:rPr>
      </w:pPr>
      <w:r w:rsidRPr="00731339">
        <w:rPr>
          <w:rFonts w:ascii="Arial" w:eastAsia="SimSun" w:hAnsi="Arial" w:cs="Arial"/>
          <w:b/>
          <w:bCs/>
          <w:sz w:val="20"/>
          <w:lang w:eastAsia="zh-CN"/>
        </w:rPr>
        <w:t>BCBS consultation</w:t>
      </w:r>
      <w:r w:rsidR="00003306" w:rsidRPr="00731339">
        <w:rPr>
          <w:rFonts w:ascii="Arial" w:eastAsia="SimSun" w:hAnsi="Arial" w:cs="Arial"/>
          <w:b/>
          <w:bCs/>
          <w:sz w:val="20"/>
          <w:lang w:eastAsia="zh-CN"/>
        </w:rPr>
        <w:t xml:space="preserve"> on changes to credit valuation adjustment</w:t>
      </w:r>
      <w:r w:rsidRPr="00731339">
        <w:rPr>
          <w:rFonts w:ascii="Arial" w:eastAsia="SimSun" w:hAnsi="Arial" w:cs="Arial"/>
          <w:b/>
          <w:bCs/>
          <w:sz w:val="20"/>
          <w:lang w:eastAsia="zh-CN"/>
        </w:rPr>
        <w:t xml:space="preserve"> (CVA)</w:t>
      </w:r>
      <w:r w:rsidR="00003306" w:rsidRPr="00731339">
        <w:rPr>
          <w:rFonts w:ascii="Arial" w:eastAsia="SimSun" w:hAnsi="Arial" w:cs="Arial"/>
          <w:b/>
          <w:bCs/>
          <w:sz w:val="20"/>
          <w:lang w:eastAsia="zh-CN"/>
        </w:rPr>
        <w:t xml:space="preserve"> risk framework</w:t>
      </w:r>
    </w:p>
    <w:p w:rsidR="00003306" w:rsidRPr="00003306" w:rsidRDefault="00003306" w:rsidP="00003306">
      <w:pPr>
        <w:rPr>
          <w:rFonts w:ascii="Arial" w:eastAsia="SimSun" w:hAnsi="Arial" w:cs="Arial"/>
          <w:bCs/>
          <w:sz w:val="20"/>
          <w:lang w:eastAsia="zh-CN"/>
        </w:rPr>
      </w:pPr>
      <w:r w:rsidRPr="00003306">
        <w:rPr>
          <w:rFonts w:ascii="Arial" w:eastAsia="SimSun" w:hAnsi="Arial" w:cs="Arial"/>
          <w:bCs/>
          <w:sz w:val="20"/>
          <w:lang w:eastAsia="zh-CN"/>
        </w:rPr>
        <w:t>On 28 November</w:t>
      </w:r>
      <w:r w:rsidR="00017114">
        <w:rPr>
          <w:rFonts w:ascii="Arial" w:eastAsia="SimSun" w:hAnsi="Arial" w:cs="Arial"/>
          <w:bCs/>
          <w:sz w:val="20"/>
          <w:lang w:eastAsia="zh-CN"/>
        </w:rPr>
        <w:t>, the BCBS</w:t>
      </w:r>
      <w:r w:rsidRPr="00003306">
        <w:rPr>
          <w:rFonts w:ascii="Arial" w:eastAsia="SimSun" w:hAnsi="Arial" w:cs="Arial"/>
          <w:bCs/>
          <w:sz w:val="20"/>
          <w:lang w:eastAsia="zh-CN"/>
        </w:rPr>
        <w:t xml:space="preserve"> published a </w:t>
      </w:r>
      <w:r w:rsidRPr="00F96AE4">
        <w:rPr>
          <w:rFonts w:ascii="Arial" w:eastAsia="SimSun" w:hAnsi="Arial" w:cs="Arial"/>
          <w:bCs/>
          <w:iCs/>
          <w:sz w:val="20"/>
          <w:lang w:eastAsia="zh-CN"/>
        </w:rPr>
        <w:t>consultative document</w:t>
      </w:r>
      <w:r w:rsidR="00017114">
        <w:rPr>
          <w:rFonts w:ascii="Arial" w:eastAsia="SimSun" w:hAnsi="Arial" w:cs="Arial"/>
          <w:bCs/>
          <w:sz w:val="20"/>
          <w:lang w:eastAsia="zh-CN"/>
        </w:rPr>
        <w:t xml:space="preserve"> in relation to its CVA</w:t>
      </w:r>
      <w:r w:rsidRPr="00003306">
        <w:rPr>
          <w:rFonts w:ascii="Arial" w:eastAsia="SimSun" w:hAnsi="Arial" w:cs="Arial"/>
          <w:bCs/>
          <w:sz w:val="20"/>
          <w:lang w:eastAsia="zh-CN"/>
        </w:rPr>
        <w:t xml:space="preserve"> risk framework. </w:t>
      </w:r>
      <w:r w:rsidR="00017114">
        <w:rPr>
          <w:rFonts w:ascii="Arial" w:eastAsia="SimSun" w:hAnsi="Arial" w:cs="Arial"/>
          <w:bCs/>
          <w:sz w:val="20"/>
          <w:lang w:eastAsia="zh-CN"/>
        </w:rPr>
        <w:t>The BCBS is seeking views on a set of limited, targeted and final adjustments to the CVA risk framework, which comprise two revisions</w:t>
      </w:r>
      <w:r w:rsidR="00F96AE4">
        <w:rPr>
          <w:rFonts w:ascii="Arial" w:eastAsia="SimSun" w:hAnsi="Arial" w:cs="Arial"/>
          <w:bCs/>
          <w:sz w:val="20"/>
          <w:lang w:eastAsia="zh-CN"/>
        </w:rPr>
        <w:t xml:space="preserve">: </w:t>
      </w:r>
      <w:r w:rsidR="00017114">
        <w:rPr>
          <w:rFonts w:ascii="Arial" w:eastAsia="SimSun" w:hAnsi="Arial" w:cs="Arial"/>
          <w:bCs/>
          <w:sz w:val="20"/>
          <w:lang w:eastAsia="zh-CN"/>
        </w:rPr>
        <w:t xml:space="preserve">(i) </w:t>
      </w:r>
      <w:r w:rsidR="00F96AE4">
        <w:rPr>
          <w:rFonts w:ascii="Arial" w:eastAsia="SimSun" w:hAnsi="Arial" w:cs="Arial"/>
          <w:bCs/>
          <w:sz w:val="20"/>
          <w:lang w:eastAsia="zh-CN"/>
        </w:rPr>
        <w:t xml:space="preserve">proposing </w:t>
      </w:r>
      <w:r w:rsidR="00017114">
        <w:rPr>
          <w:rFonts w:ascii="Arial" w:eastAsia="SimSun" w:hAnsi="Arial" w:cs="Arial"/>
          <w:bCs/>
          <w:sz w:val="20"/>
          <w:lang w:eastAsia="zh-CN"/>
        </w:rPr>
        <w:t>adjustments to the risk weights in the CVA standardised approach for interest rate risk, foreign exchange risk and certain exposures subject to counterparty credit spread risk and reference credit spread risk. The BCBS</w:t>
      </w:r>
      <w:r w:rsidR="00F96AE4">
        <w:rPr>
          <w:rFonts w:ascii="Arial" w:eastAsia="SimSun" w:hAnsi="Arial" w:cs="Arial"/>
          <w:bCs/>
          <w:sz w:val="20"/>
          <w:lang w:eastAsia="zh-CN"/>
        </w:rPr>
        <w:t xml:space="preserve"> also</w:t>
      </w:r>
      <w:r w:rsidR="00017114">
        <w:rPr>
          <w:rFonts w:ascii="Arial" w:eastAsia="SimSun" w:hAnsi="Arial" w:cs="Arial"/>
          <w:bCs/>
          <w:sz w:val="20"/>
          <w:lang w:eastAsia="zh-CN"/>
        </w:rPr>
        <w:t xml:space="preserve"> proposes to introduce </w:t>
      </w:r>
      <w:r w:rsidR="00F96AE4">
        <w:rPr>
          <w:rFonts w:ascii="Arial" w:eastAsia="SimSun" w:hAnsi="Arial" w:cs="Arial"/>
          <w:bCs/>
          <w:sz w:val="20"/>
          <w:lang w:eastAsia="zh-CN"/>
        </w:rPr>
        <w:t xml:space="preserve">a new approach to calculate capital requirements for instruments with market values depending on credit and equity indices; and (ii) the introduction of additional targeted revisions to the CVA risk framework, including adjusting the scope of portfolios subject to CVA risk capital requirements by excluding some securities financing transactions where the CVA risks stemming from such positions are not material, and exempting certain client-cleared derivatives. </w:t>
      </w:r>
      <w:r w:rsidRPr="00003306">
        <w:rPr>
          <w:rFonts w:ascii="Arial" w:eastAsia="SimSun" w:hAnsi="Arial" w:cs="Arial"/>
          <w:bCs/>
          <w:sz w:val="20"/>
          <w:lang w:eastAsia="zh-CN"/>
        </w:rPr>
        <w:t xml:space="preserve">The </w:t>
      </w:r>
      <w:r w:rsidR="00F96AE4">
        <w:rPr>
          <w:rFonts w:ascii="Arial" w:eastAsia="SimSun" w:hAnsi="Arial" w:cs="Arial"/>
          <w:bCs/>
          <w:sz w:val="20"/>
          <w:lang w:eastAsia="zh-CN"/>
        </w:rPr>
        <w:t xml:space="preserve">deadline for comments is </w:t>
      </w:r>
      <w:r w:rsidRPr="00003306">
        <w:rPr>
          <w:rFonts w:ascii="Arial" w:eastAsia="SimSun" w:hAnsi="Arial" w:cs="Arial"/>
          <w:bCs/>
          <w:sz w:val="20"/>
          <w:lang w:eastAsia="zh-CN"/>
        </w:rPr>
        <w:t xml:space="preserve">25 February </w:t>
      </w:r>
      <w:r w:rsidR="00F96AE4">
        <w:rPr>
          <w:rFonts w:ascii="Arial" w:eastAsia="SimSun" w:hAnsi="Arial" w:cs="Arial"/>
          <w:bCs/>
          <w:sz w:val="20"/>
          <w:lang w:eastAsia="zh-CN"/>
        </w:rPr>
        <w:t>2020</w:t>
      </w:r>
      <w:r w:rsidRPr="00003306">
        <w:rPr>
          <w:rFonts w:ascii="Arial" w:eastAsia="SimSun" w:hAnsi="Arial" w:cs="Arial"/>
          <w:bCs/>
          <w:sz w:val="20"/>
          <w:lang w:eastAsia="zh-CN"/>
        </w:rPr>
        <w:t>.</w:t>
      </w:r>
    </w:p>
    <w:p w:rsidR="00003306" w:rsidRDefault="00AE3A4B" w:rsidP="009B6A8C">
      <w:pPr>
        <w:rPr>
          <w:rFonts w:ascii="Arial" w:eastAsia="SimSun" w:hAnsi="Arial" w:cs="Arial"/>
          <w:bCs/>
          <w:sz w:val="20"/>
          <w:lang w:eastAsia="zh-CN"/>
        </w:rPr>
      </w:pPr>
      <w:hyperlink r:id="rId27" w:history="1">
        <w:r w:rsidR="00003306">
          <w:rPr>
            <w:rStyle w:val="Hyperlink"/>
            <w:rFonts w:ascii="Arial" w:eastAsia="SimSun" w:hAnsi="Arial" w:cs="Arial"/>
            <w:bCs/>
            <w:sz w:val="20"/>
            <w:lang w:eastAsia="zh-CN"/>
          </w:rPr>
          <w:t>Read more</w:t>
        </w:r>
      </w:hyperlink>
      <w:r w:rsidR="00003306" w:rsidRPr="00003306">
        <w:rPr>
          <w:rFonts w:ascii="Arial" w:eastAsia="SimSun" w:hAnsi="Arial" w:cs="Arial"/>
          <w:bCs/>
          <w:sz w:val="20"/>
          <w:lang w:eastAsia="zh-CN"/>
        </w:rPr>
        <w:t xml:space="preserve"> </w:t>
      </w:r>
    </w:p>
    <w:p w:rsidR="00F51021" w:rsidRDefault="00F51021" w:rsidP="009B6A8C">
      <w:pPr>
        <w:rPr>
          <w:rFonts w:ascii="Arial" w:eastAsia="SimSun" w:hAnsi="Arial" w:cs="Arial"/>
          <w:bCs/>
          <w:sz w:val="20"/>
          <w:lang w:eastAsia="zh-CN"/>
        </w:rPr>
      </w:pPr>
    </w:p>
    <w:p w:rsidR="00F51021" w:rsidRDefault="00594AA4" w:rsidP="00F51021">
      <w:pPr>
        <w:rPr>
          <w:rFonts w:ascii="Arial" w:eastAsiaTheme="minorEastAsia" w:hAnsi="Arial"/>
          <w:b/>
          <w:sz w:val="20"/>
        </w:rPr>
      </w:pPr>
      <w:r w:rsidRPr="00731339">
        <w:rPr>
          <w:rFonts w:ascii="Arial" w:eastAsiaTheme="minorEastAsia" w:hAnsi="Arial"/>
          <w:b/>
          <w:sz w:val="20"/>
        </w:rPr>
        <w:t>Investment F</w:t>
      </w:r>
      <w:r w:rsidR="00F51021" w:rsidRPr="00731339">
        <w:rPr>
          <w:rFonts w:ascii="Arial" w:eastAsiaTheme="minorEastAsia" w:hAnsi="Arial"/>
          <w:b/>
          <w:sz w:val="20"/>
        </w:rPr>
        <w:t>irms</w:t>
      </w:r>
      <w:r w:rsidRPr="00731339">
        <w:rPr>
          <w:rFonts w:ascii="Arial" w:eastAsiaTheme="minorEastAsia" w:hAnsi="Arial"/>
          <w:b/>
          <w:sz w:val="20"/>
        </w:rPr>
        <w:t xml:space="preserve"> Regulation and Investment Firms Directive signed in Strasbourg</w:t>
      </w:r>
    </w:p>
    <w:p w:rsidR="00F51021" w:rsidRPr="009D69DF" w:rsidRDefault="00F51021" w:rsidP="00F51021">
      <w:pPr>
        <w:rPr>
          <w:rFonts w:ascii="Arial" w:eastAsiaTheme="minorEastAsia" w:hAnsi="Arial"/>
          <w:sz w:val="20"/>
        </w:rPr>
      </w:pPr>
      <w:r w:rsidRPr="009D69DF">
        <w:rPr>
          <w:rFonts w:ascii="Arial" w:eastAsiaTheme="minorEastAsia" w:hAnsi="Arial"/>
          <w:sz w:val="20"/>
        </w:rPr>
        <w:t xml:space="preserve">On 27 November, </w:t>
      </w:r>
      <w:r w:rsidR="009D69DF">
        <w:rPr>
          <w:rFonts w:ascii="Arial" w:eastAsiaTheme="minorEastAsia" w:hAnsi="Arial"/>
          <w:sz w:val="20"/>
        </w:rPr>
        <w:t>the texts of the Investment Firms Regulation and the Investment Firms Directive were signed in Strasbourg, and will now be published in the OJ.</w:t>
      </w:r>
    </w:p>
    <w:p w:rsidR="00F51021" w:rsidRPr="009D69DF" w:rsidRDefault="00AE3A4B" w:rsidP="00F51021">
      <w:pPr>
        <w:rPr>
          <w:rFonts w:ascii="Arial" w:eastAsiaTheme="minorEastAsia" w:hAnsi="Arial"/>
          <w:sz w:val="20"/>
        </w:rPr>
      </w:pPr>
      <w:hyperlink r:id="rId28" w:history="1">
        <w:r w:rsidR="00F51021" w:rsidRPr="009D69DF">
          <w:rPr>
            <w:rStyle w:val="Hyperlink"/>
            <w:rFonts w:ascii="Arial" w:eastAsiaTheme="minorEastAsia" w:hAnsi="Arial"/>
            <w:sz w:val="20"/>
          </w:rPr>
          <w:t>Text of the Investment Firms Directive</w:t>
        </w:r>
      </w:hyperlink>
    </w:p>
    <w:p w:rsidR="00F51021" w:rsidRPr="009D69DF" w:rsidRDefault="00AE3A4B" w:rsidP="00F51021">
      <w:pPr>
        <w:rPr>
          <w:rFonts w:ascii="Arial" w:eastAsiaTheme="minorEastAsia" w:hAnsi="Arial"/>
          <w:sz w:val="20"/>
        </w:rPr>
      </w:pPr>
      <w:hyperlink r:id="rId29" w:history="1">
        <w:r w:rsidR="00F51021" w:rsidRPr="009D69DF">
          <w:rPr>
            <w:rStyle w:val="Hyperlink"/>
            <w:rFonts w:ascii="Arial" w:eastAsiaTheme="minorEastAsia" w:hAnsi="Arial"/>
            <w:sz w:val="20"/>
          </w:rPr>
          <w:t>Text of the Investment Firms Regulation</w:t>
        </w:r>
      </w:hyperlink>
      <w:r w:rsidR="00F51021" w:rsidRPr="009D69DF">
        <w:rPr>
          <w:rFonts w:ascii="Arial" w:eastAsiaTheme="minorEastAsia" w:hAnsi="Arial"/>
          <w:sz w:val="20"/>
        </w:rPr>
        <w:t xml:space="preserve">  </w:t>
      </w:r>
    </w:p>
    <w:p w:rsidR="00003306" w:rsidRDefault="00003306" w:rsidP="009B6A8C">
      <w:pPr>
        <w:rPr>
          <w:rFonts w:ascii="Arial" w:eastAsia="SimSun" w:hAnsi="Arial" w:cs="Arial"/>
          <w:b/>
          <w:bCs/>
          <w:sz w:val="20"/>
          <w:lang w:eastAsia="zh-CN"/>
        </w:rPr>
      </w:pPr>
    </w:p>
    <w:p w:rsidR="009B6A8C" w:rsidRPr="009B6A8C" w:rsidRDefault="009B6A8C" w:rsidP="009B6A8C">
      <w:pPr>
        <w:rPr>
          <w:rFonts w:ascii="Arial" w:eastAsia="SimSun" w:hAnsi="Arial" w:cs="Arial"/>
          <w:b/>
          <w:bCs/>
          <w:sz w:val="20"/>
          <w:lang w:eastAsia="zh-CN"/>
        </w:rPr>
      </w:pPr>
      <w:r w:rsidRPr="009B6A8C">
        <w:rPr>
          <w:rFonts w:ascii="Arial" w:eastAsia="SimSun" w:hAnsi="Arial" w:cs="Arial"/>
          <w:b/>
          <w:bCs/>
          <w:sz w:val="20"/>
          <w:lang w:eastAsia="zh-CN"/>
        </w:rPr>
        <w:t xml:space="preserve">BCBS guiding principles for </w:t>
      </w:r>
      <w:proofErr w:type="spellStart"/>
      <w:r w:rsidRPr="009B6A8C">
        <w:rPr>
          <w:rFonts w:ascii="Arial" w:eastAsia="SimSun" w:hAnsi="Arial" w:cs="Arial"/>
          <w:b/>
          <w:bCs/>
          <w:sz w:val="20"/>
          <w:lang w:eastAsia="zh-CN"/>
        </w:rPr>
        <w:t>operationalisation</w:t>
      </w:r>
      <w:proofErr w:type="spellEnd"/>
      <w:r w:rsidRPr="009B6A8C">
        <w:rPr>
          <w:rFonts w:ascii="Arial" w:eastAsia="SimSun" w:hAnsi="Arial" w:cs="Arial"/>
          <w:b/>
          <w:bCs/>
          <w:sz w:val="20"/>
          <w:lang w:eastAsia="zh-CN"/>
        </w:rPr>
        <w:t xml:space="preserve"> of </w:t>
      </w:r>
      <w:r w:rsidR="00D97C04">
        <w:rPr>
          <w:rFonts w:ascii="Arial" w:eastAsia="SimSun" w:hAnsi="Arial" w:cs="Arial"/>
          <w:b/>
          <w:bCs/>
          <w:sz w:val="20"/>
          <w:lang w:eastAsia="zh-CN"/>
        </w:rPr>
        <w:t xml:space="preserve">a </w:t>
      </w:r>
      <w:r w:rsidRPr="009B6A8C">
        <w:rPr>
          <w:rFonts w:ascii="Arial" w:eastAsia="SimSun" w:hAnsi="Arial" w:cs="Arial"/>
          <w:b/>
          <w:bCs/>
          <w:sz w:val="20"/>
          <w:lang w:eastAsia="zh-CN"/>
        </w:rPr>
        <w:t>sectoral countercyclical capital b</w:t>
      </w:r>
      <w:r w:rsidR="00D97C04">
        <w:rPr>
          <w:rFonts w:ascii="Arial" w:eastAsia="SimSun" w:hAnsi="Arial" w:cs="Arial"/>
          <w:b/>
          <w:bCs/>
          <w:sz w:val="20"/>
          <w:lang w:eastAsia="zh-CN"/>
        </w:rPr>
        <w:t>uffer</w:t>
      </w:r>
      <w:r w:rsidR="00027983">
        <w:rPr>
          <w:rFonts w:ascii="Arial" w:eastAsia="SimSun" w:hAnsi="Arial" w:cs="Arial"/>
          <w:b/>
          <w:bCs/>
          <w:sz w:val="20"/>
          <w:lang w:eastAsia="zh-CN"/>
        </w:rPr>
        <w:t xml:space="preserve"> (</w:t>
      </w:r>
      <w:proofErr w:type="spellStart"/>
      <w:r w:rsidR="00027983">
        <w:rPr>
          <w:rFonts w:ascii="Arial" w:eastAsia="SimSun" w:hAnsi="Arial" w:cs="Arial"/>
          <w:b/>
          <w:bCs/>
          <w:sz w:val="20"/>
          <w:lang w:eastAsia="zh-CN"/>
        </w:rPr>
        <w:t>SCCyB</w:t>
      </w:r>
      <w:proofErr w:type="spellEnd"/>
      <w:r w:rsidR="00027983">
        <w:rPr>
          <w:rFonts w:ascii="Arial" w:eastAsia="SimSun" w:hAnsi="Arial" w:cs="Arial"/>
          <w:b/>
          <w:bCs/>
          <w:sz w:val="20"/>
          <w:lang w:eastAsia="zh-CN"/>
        </w:rPr>
        <w:t>)</w:t>
      </w:r>
    </w:p>
    <w:p w:rsidR="00D97C04" w:rsidRDefault="009B6A8C" w:rsidP="009B6A8C">
      <w:pPr>
        <w:rPr>
          <w:rFonts w:ascii="Arial" w:eastAsia="SimSun" w:hAnsi="Arial" w:cs="Arial"/>
          <w:bCs/>
          <w:sz w:val="20"/>
          <w:lang w:eastAsia="zh-CN"/>
        </w:rPr>
      </w:pPr>
      <w:r w:rsidRPr="009B6A8C">
        <w:rPr>
          <w:rFonts w:ascii="Arial" w:eastAsia="SimSun" w:hAnsi="Arial" w:cs="Arial"/>
          <w:bCs/>
          <w:sz w:val="20"/>
          <w:lang w:eastAsia="zh-CN"/>
        </w:rPr>
        <w:lastRenderedPageBreak/>
        <w:t>On 27 November</w:t>
      </w:r>
      <w:r w:rsidR="00D97C04">
        <w:rPr>
          <w:rFonts w:ascii="Arial" w:eastAsia="SimSun" w:hAnsi="Arial" w:cs="Arial"/>
          <w:bCs/>
          <w:sz w:val="20"/>
          <w:lang w:eastAsia="zh-CN"/>
        </w:rPr>
        <w:t>, the BCBS</w:t>
      </w:r>
      <w:r w:rsidRPr="009B6A8C">
        <w:rPr>
          <w:rFonts w:ascii="Arial" w:eastAsia="SimSun" w:hAnsi="Arial" w:cs="Arial"/>
          <w:bCs/>
          <w:sz w:val="20"/>
          <w:lang w:eastAsia="zh-CN"/>
        </w:rPr>
        <w:t xml:space="preserve"> published</w:t>
      </w:r>
      <w:r w:rsidR="00D97C04">
        <w:rPr>
          <w:rFonts w:ascii="Arial" w:eastAsia="SimSun" w:hAnsi="Arial" w:cs="Arial"/>
          <w:bCs/>
          <w:sz w:val="20"/>
          <w:lang w:eastAsia="zh-CN"/>
        </w:rPr>
        <w:t xml:space="preserve"> its</w:t>
      </w:r>
      <w:r w:rsidRPr="009B6A8C">
        <w:rPr>
          <w:rFonts w:ascii="Arial" w:eastAsia="SimSun" w:hAnsi="Arial" w:cs="Arial"/>
          <w:bCs/>
          <w:sz w:val="20"/>
          <w:lang w:eastAsia="zh-CN"/>
        </w:rPr>
        <w:t xml:space="preserve"> </w:t>
      </w:r>
      <w:r w:rsidRPr="00D97C04">
        <w:rPr>
          <w:rFonts w:ascii="Arial" w:eastAsia="SimSun" w:hAnsi="Arial" w:cs="Arial"/>
          <w:bCs/>
          <w:iCs/>
          <w:sz w:val="20"/>
          <w:lang w:eastAsia="zh-CN"/>
        </w:rPr>
        <w:t>guiding principles</w:t>
      </w:r>
      <w:r w:rsidRPr="009B6A8C">
        <w:rPr>
          <w:rFonts w:ascii="Arial" w:eastAsia="SimSun" w:hAnsi="Arial" w:cs="Arial"/>
          <w:bCs/>
          <w:sz w:val="20"/>
          <w:lang w:eastAsia="zh-CN"/>
        </w:rPr>
        <w:t xml:space="preserve"> for the </w:t>
      </w:r>
      <w:proofErr w:type="spellStart"/>
      <w:r w:rsidRPr="009B6A8C">
        <w:rPr>
          <w:rFonts w:ascii="Arial" w:eastAsia="SimSun" w:hAnsi="Arial" w:cs="Arial"/>
          <w:bCs/>
          <w:sz w:val="20"/>
          <w:lang w:eastAsia="zh-CN"/>
        </w:rPr>
        <w:t>o</w:t>
      </w:r>
      <w:r w:rsidR="00027983">
        <w:rPr>
          <w:rFonts w:ascii="Arial" w:eastAsia="SimSun" w:hAnsi="Arial" w:cs="Arial"/>
          <w:bCs/>
          <w:sz w:val="20"/>
          <w:lang w:eastAsia="zh-CN"/>
        </w:rPr>
        <w:t>perationalisation</w:t>
      </w:r>
      <w:proofErr w:type="spellEnd"/>
      <w:r w:rsidR="00027983">
        <w:rPr>
          <w:rFonts w:ascii="Arial" w:eastAsia="SimSun" w:hAnsi="Arial" w:cs="Arial"/>
          <w:bCs/>
          <w:sz w:val="20"/>
          <w:lang w:eastAsia="zh-CN"/>
        </w:rPr>
        <w:t xml:space="preserve"> of a </w:t>
      </w:r>
      <w:proofErr w:type="spellStart"/>
      <w:r w:rsidR="00027983">
        <w:rPr>
          <w:rFonts w:ascii="Arial" w:eastAsia="SimSun" w:hAnsi="Arial" w:cs="Arial"/>
          <w:bCs/>
          <w:sz w:val="20"/>
          <w:lang w:eastAsia="zh-CN"/>
        </w:rPr>
        <w:t>SCCyB</w:t>
      </w:r>
      <w:proofErr w:type="spellEnd"/>
      <w:r w:rsidRPr="009B6A8C">
        <w:rPr>
          <w:rFonts w:ascii="Arial" w:eastAsia="SimSun" w:hAnsi="Arial" w:cs="Arial"/>
          <w:bCs/>
          <w:sz w:val="20"/>
          <w:lang w:eastAsia="zh-CN"/>
        </w:rPr>
        <w:t>.</w:t>
      </w:r>
      <w:r w:rsidR="002D527F">
        <w:rPr>
          <w:rFonts w:ascii="Arial" w:eastAsia="SimSun" w:hAnsi="Arial" w:cs="Arial"/>
          <w:bCs/>
          <w:sz w:val="20"/>
          <w:lang w:eastAsia="zh-CN"/>
        </w:rPr>
        <w:t xml:space="preserve"> </w:t>
      </w:r>
      <w:r w:rsidR="00D97C04">
        <w:rPr>
          <w:rFonts w:ascii="Arial" w:eastAsia="SimSun" w:hAnsi="Arial" w:cs="Arial"/>
          <w:bCs/>
          <w:sz w:val="20"/>
          <w:lang w:eastAsia="zh-CN"/>
        </w:rPr>
        <w:t>The BCBS believes that the</w:t>
      </w:r>
      <w:r w:rsidRPr="009B6A8C">
        <w:rPr>
          <w:rFonts w:ascii="Arial" w:eastAsia="SimSun" w:hAnsi="Arial" w:cs="Arial"/>
          <w:bCs/>
          <w:sz w:val="20"/>
          <w:lang w:eastAsia="zh-CN"/>
        </w:rPr>
        <w:t xml:space="preserve"> </w:t>
      </w:r>
      <w:proofErr w:type="spellStart"/>
      <w:r w:rsidRPr="009B6A8C">
        <w:rPr>
          <w:rFonts w:ascii="Arial" w:eastAsia="SimSun" w:hAnsi="Arial" w:cs="Arial"/>
          <w:bCs/>
          <w:sz w:val="20"/>
          <w:lang w:eastAsia="zh-CN"/>
        </w:rPr>
        <w:t>SCCyB</w:t>
      </w:r>
      <w:proofErr w:type="spellEnd"/>
      <w:r w:rsidRPr="009B6A8C">
        <w:rPr>
          <w:rFonts w:ascii="Arial" w:eastAsia="SimSun" w:hAnsi="Arial" w:cs="Arial"/>
          <w:bCs/>
          <w:sz w:val="20"/>
          <w:lang w:eastAsia="zh-CN"/>
        </w:rPr>
        <w:t xml:space="preserve"> may be a useful complement to both the </w:t>
      </w:r>
      <w:r w:rsidR="00D97C04">
        <w:rPr>
          <w:rFonts w:ascii="Arial" w:eastAsia="SimSun" w:hAnsi="Arial" w:cs="Arial"/>
          <w:bCs/>
          <w:sz w:val="20"/>
          <w:lang w:eastAsia="zh-CN"/>
        </w:rPr>
        <w:t xml:space="preserve">Basel III </w:t>
      </w:r>
      <w:r w:rsidRPr="009B6A8C">
        <w:rPr>
          <w:rFonts w:ascii="Arial" w:eastAsia="SimSun" w:hAnsi="Arial" w:cs="Arial"/>
          <w:bCs/>
          <w:sz w:val="20"/>
          <w:lang w:eastAsia="zh-CN"/>
        </w:rPr>
        <w:t>CCyB and existing targeted instruments in the macro-prudential toolkit</w:t>
      </w:r>
      <w:r w:rsidR="00D97C04">
        <w:rPr>
          <w:rFonts w:ascii="Arial" w:eastAsia="SimSun" w:hAnsi="Arial" w:cs="Arial"/>
          <w:bCs/>
          <w:sz w:val="20"/>
          <w:lang w:eastAsia="zh-CN"/>
        </w:rPr>
        <w:t xml:space="preserve">, and the guiding principles are intended to </w:t>
      </w:r>
      <w:r w:rsidRPr="009B6A8C">
        <w:rPr>
          <w:rFonts w:ascii="Arial" w:eastAsia="SimSun" w:hAnsi="Arial" w:cs="Arial"/>
          <w:bCs/>
          <w:sz w:val="20"/>
          <w:lang w:eastAsia="zh-CN"/>
        </w:rPr>
        <w:t xml:space="preserve">support those jurisdictions that are willing to implement an </w:t>
      </w:r>
      <w:proofErr w:type="spellStart"/>
      <w:r w:rsidRPr="009B6A8C">
        <w:rPr>
          <w:rFonts w:ascii="Arial" w:eastAsia="SimSun" w:hAnsi="Arial" w:cs="Arial"/>
          <w:bCs/>
          <w:sz w:val="20"/>
          <w:lang w:eastAsia="zh-CN"/>
        </w:rPr>
        <w:t>SCCyB</w:t>
      </w:r>
      <w:proofErr w:type="spellEnd"/>
      <w:r w:rsidR="00D97C04">
        <w:rPr>
          <w:rFonts w:ascii="Arial" w:eastAsia="SimSun" w:hAnsi="Arial" w:cs="Arial"/>
          <w:bCs/>
          <w:sz w:val="20"/>
          <w:lang w:eastAsia="zh-CN"/>
        </w:rPr>
        <w:t>.</w:t>
      </w:r>
      <w:r w:rsidR="002D527F">
        <w:rPr>
          <w:rFonts w:ascii="Arial" w:eastAsia="SimSun" w:hAnsi="Arial" w:cs="Arial"/>
          <w:bCs/>
          <w:sz w:val="20"/>
          <w:lang w:eastAsia="zh-CN"/>
        </w:rPr>
        <w:t xml:space="preserve"> </w:t>
      </w:r>
      <w:r w:rsidR="00D97C04">
        <w:rPr>
          <w:rFonts w:ascii="Arial" w:eastAsia="SimSun" w:hAnsi="Arial" w:cs="Arial"/>
          <w:bCs/>
          <w:sz w:val="20"/>
          <w:lang w:eastAsia="zh-CN"/>
        </w:rPr>
        <w:t>Among other things, the guiding principles cover:</w:t>
      </w:r>
      <w:r w:rsidR="002D527F">
        <w:rPr>
          <w:rFonts w:ascii="Arial" w:eastAsia="SimSun" w:hAnsi="Arial" w:cs="Arial"/>
          <w:bCs/>
          <w:sz w:val="20"/>
          <w:lang w:eastAsia="zh-CN"/>
        </w:rPr>
        <w:t xml:space="preserve"> </w:t>
      </w:r>
      <w:r w:rsidR="00D97C04">
        <w:rPr>
          <w:rFonts w:ascii="Arial" w:eastAsia="SimSun" w:hAnsi="Arial" w:cs="Arial"/>
          <w:bCs/>
          <w:sz w:val="20"/>
          <w:lang w:eastAsia="zh-CN"/>
        </w:rPr>
        <w:t xml:space="preserve">(i) objectives – the primary objective of the </w:t>
      </w:r>
      <w:proofErr w:type="spellStart"/>
      <w:r w:rsidR="00D97C04">
        <w:rPr>
          <w:rFonts w:ascii="Arial" w:eastAsia="SimSun" w:hAnsi="Arial" w:cs="Arial"/>
          <w:bCs/>
          <w:sz w:val="20"/>
          <w:lang w:eastAsia="zh-CN"/>
        </w:rPr>
        <w:t>SCCyB</w:t>
      </w:r>
      <w:proofErr w:type="spellEnd"/>
      <w:r w:rsidR="00D97C04">
        <w:rPr>
          <w:rFonts w:ascii="Arial" w:eastAsia="SimSun" w:hAnsi="Arial" w:cs="Arial"/>
          <w:bCs/>
          <w:sz w:val="20"/>
          <w:lang w:eastAsia="zh-CN"/>
        </w:rPr>
        <w:t xml:space="preserve"> is to ensure that the banking sector in aggregate has the capital available to maintain the flow of credit in the economy without</w:t>
      </w:r>
      <w:r w:rsidR="002D527F">
        <w:rPr>
          <w:rFonts w:ascii="Arial" w:eastAsia="SimSun" w:hAnsi="Arial" w:cs="Arial"/>
          <w:bCs/>
          <w:sz w:val="20"/>
          <w:lang w:eastAsia="zh-CN"/>
        </w:rPr>
        <w:t xml:space="preserve"> its solvency being questioned; </w:t>
      </w:r>
      <w:r w:rsidR="00D97C04">
        <w:rPr>
          <w:rFonts w:ascii="Arial" w:eastAsia="SimSun" w:hAnsi="Arial" w:cs="Arial"/>
          <w:bCs/>
          <w:sz w:val="20"/>
          <w:lang w:eastAsia="zh-CN"/>
        </w:rPr>
        <w:t>(ii) target segments –</w:t>
      </w:r>
      <w:r w:rsidR="00027983">
        <w:rPr>
          <w:rFonts w:ascii="Arial" w:eastAsia="SimSun" w:hAnsi="Arial" w:cs="Arial"/>
          <w:bCs/>
          <w:sz w:val="20"/>
          <w:lang w:eastAsia="zh-CN"/>
        </w:rPr>
        <w:t xml:space="preserve"> n</w:t>
      </w:r>
      <w:r w:rsidR="00D97C04">
        <w:rPr>
          <w:rFonts w:ascii="Arial" w:eastAsia="SimSun" w:hAnsi="Arial" w:cs="Arial"/>
          <w:bCs/>
          <w:sz w:val="20"/>
          <w:lang w:eastAsia="zh-CN"/>
        </w:rPr>
        <w:t xml:space="preserve">ational authorities should define a small number of target segments that should be </w:t>
      </w:r>
      <w:r w:rsidR="00D97C04" w:rsidRPr="009B6A8C">
        <w:rPr>
          <w:rFonts w:ascii="Arial" w:eastAsia="SimSun" w:hAnsi="Arial" w:cs="Arial"/>
          <w:bCs/>
          <w:sz w:val="20"/>
          <w:lang w:eastAsia="zh-CN"/>
        </w:rPr>
        <w:t>potentially significant from a financial stability perspective a</w:t>
      </w:r>
      <w:r w:rsidR="00D97C04">
        <w:rPr>
          <w:rFonts w:ascii="Arial" w:eastAsia="SimSun" w:hAnsi="Arial" w:cs="Arial"/>
          <w:bCs/>
          <w:sz w:val="20"/>
          <w:lang w:eastAsia="zh-CN"/>
        </w:rPr>
        <w:t>nd prone to cyclical imbalances;</w:t>
      </w:r>
      <w:r w:rsidR="002D527F">
        <w:rPr>
          <w:rFonts w:ascii="Arial" w:eastAsia="SimSun" w:hAnsi="Arial" w:cs="Arial"/>
          <w:bCs/>
          <w:sz w:val="20"/>
          <w:lang w:eastAsia="zh-CN"/>
        </w:rPr>
        <w:t xml:space="preserve"> and </w:t>
      </w:r>
      <w:r w:rsidR="00D97C04">
        <w:rPr>
          <w:rFonts w:ascii="Arial" w:eastAsia="SimSun" w:hAnsi="Arial" w:cs="Arial"/>
          <w:bCs/>
          <w:sz w:val="20"/>
          <w:lang w:eastAsia="zh-CN"/>
        </w:rPr>
        <w:t xml:space="preserve">(iii) interaction with the Basel III CCyB </w:t>
      </w:r>
      <w:r w:rsidR="002D527F">
        <w:rPr>
          <w:rFonts w:ascii="Arial" w:eastAsia="SimSun" w:hAnsi="Arial" w:cs="Arial"/>
          <w:bCs/>
          <w:sz w:val="20"/>
          <w:lang w:eastAsia="zh-CN"/>
        </w:rPr>
        <w:t>–</w:t>
      </w:r>
      <w:r w:rsidR="00D97C04">
        <w:rPr>
          <w:rFonts w:ascii="Arial" w:eastAsia="SimSun" w:hAnsi="Arial" w:cs="Arial"/>
          <w:bCs/>
          <w:sz w:val="20"/>
          <w:lang w:eastAsia="zh-CN"/>
        </w:rPr>
        <w:t xml:space="preserve"> </w:t>
      </w:r>
      <w:r w:rsidR="00027983">
        <w:rPr>
          <w:rFonts w:ascii="Arial" w:eastAsia="SimSun" w:hAnsi="Arial" w:cs="Arial"/>
          <w:bCs/>
          <w:sz w:val="20"/>
          <w:lang w:eastAsia="zh-CN"/>
        </w:rPr>
        <w:t>n</w:t>
      </w:r>
      <w:r w:rsidR="002D527F">
        <w:rPr>
          <w:rFonts w:ascii="Arial" w:eastAsia="SimSun" w:hAnsi="Arial" w:cs="Arial"/>
          <w:bCs/>
          <w:sz w:val="20"/>
          <w:lang w:eastAsia="zh-CN"/>
        </w:rPr>
        <w:t xml:space="preserve">ational authorities may wish to either activate the </w:t>
      </w:r>
      <w:proofErr w:type="spellStart"/>
      <w:r w:rsidR="002D527F">
        <w:rPr>
          <w:rFonts w:ascii="Arial" w:eastAsia="SimSun" w:hAnsi="Arial" w:cs="Arial"/>
          <w:bCs/>
          <w:sz w:val="20"/>
          <w:lang w:eastAsia="zh-CN"/>
        </w:rPr>
        <w:t>SCCyB</w:t>
      </w:r>
      <w:proofErr w:type="spellEnd"/>
      <w:r w:rsidR="002D527F">
        <w:rPr>
          <w:rFonts w:ascii="Arial" w:eastAsia="SimSun" w:hAnsi="Arial" w:cs="Arial"/>
          <w:bCs/>
          <w:sz w:val="20"/>
          <w:lang w:eastAsia="zh-CN"/>
        </w:rPr>
        <w:t xml:space="preserve"> or the CCyB, or both simultaneously.</w:t>
      </w:r>
    </w:p>
    <w:p w:rsidR="009B6A8C" w:rsidRPr="009B6A8C" w:rsidRDefault="00AE3A4B" w:rsidP="00DA297D">
      <w:pPr>
        <w:rPr>
          <w:rFonts w:ascii="Arial" w:eastAsia="SimSun" w:hAnsi="Arial" w:cs="Arial"/>
          <w:bCs/>
          <w:sz w:val="20"/>
          <w:lang w:eastAsia="zh-CN"/>
        </w:rPr>
      </w:pPr>
      <w:hyperlink r:id="rId30" w:history="1">
        <w:r w:rsidR="009B6A8C">
          <w:rPr>
            <w:rStyle w:val="Hyperlink"/>
            <w:rFonts w:ascii="Arial" w:eastAsia="SimSun" w:hAnsi="Arial" w:cs="Arial"/>
            <w:bCs/>
            <w:sz w:val="20"/>
            <w:lang w:eastAsia="zh-CN"/>
          </w:rPr>
          <w:t>Read more</w:t>
        </w:r>
      </w:hyperlink>
      <w:r w:rsidR="009B6A8C" w:rsidRPr="009B6A8C">
        <w:rPr>
          <w:rFonts w:ascii="Arial" w:eastAsia="SimSun" w:hAnsi="Arial" w:cs="Arial"/>
          <w:bCs/>
          <w:sz w:val="20"/>
          <w:lang w:eastAsia="zh-CN"/>
        </w:rPr>
        <w:t xml:space="preserve"> </w:t>
      </w:r>
    </w:p>
    <w:p w:rsidR="009B6A8C" w:rsidRDefault="009B6A8C" w:rsidP="00DA297D">
      <w:pPr>
        <w:rPr>
          <w:rFonts w:ascii="Arial" w:eastAsia="SimSun" w:hAnsi="Arial" w:cs="Arial"/>
          <w:b/>
          <w:bCs/>
          <w:sz w:val="20"/>
          <w:lang w:eastAsia="zh-CN"/>
        </w:rPr>
      </w:pPr>
    </w:p>
    <w:p w:rsidR="00DA297D" w:rsidRPr="00DA297D" w:rsidRDefault="00DA297D" w:rsidP="00DA297D">
      <w:pPr>
        <w:rPr>
          <w:rFonts w:ascii="Arial" w:eastAsia="SimSun" w:hAnsi="Arial" w:cs="Arial"/>
          <w:b/>
          <w:bCs/>
          <w:sz w:val="20"/>
          <w:lang w:eastAsia="zh-CN"/>
        </w:rPr>
      </w:pPr>
      <w:r w:rsidRPr="00DA297D">
        <w:rPr>
          <w:rFonts w:ascii="Arial" w:eastAsia="SimSun" w:hAnsi="Arial" w:cs="Arial"/>
          <w:b/>
          <w:bCs/>
          <w:sz w:val="20"/>
          <w:lang w:eastAsia="zh-CN"/>
        </w:rPr>
        <w:t>BCBS</w:t>
      </w:r>
      <w:r w:rsidR="005F3F0A">
        <w:rPr>
          <w:rFonts w:ascii="Arial" w:eastAsia="SimSun" w:hAnsi="Arial" w:cs="Arial"/>
          <w:b/>
          <w:bCs/>
          <w:sz w:val="20"/>
          <w:lang w:eastAsia="zh-CN"/>
        </w:rPr>
        <w:t>-BCG joint statement on proportionality in the</w:t>
      </w:r>
      <w:r w:rsidRPr="00DA297D">
        <w:rPr>
          <w:rFonts w:ascii="Arial" w:eastAsia="SimSun" w:hAnsi="Arial" w:cs="Arial"/>
          <w:b/>
          <w:bCs/>
          <w:sz w:val="20"/>
          <w:lang w:eastAsia="zh-CN"/>
        </w:rPr>
        <w:t xml:space="preserve"> implementation of </w:t>
      </w:r>
      <w:r w:rsidR="005F3F0A">
        <w:rPr>
          <w:rFonts w:ascii="Arial" w:eastAsia="SimSun" w:hAnsi="Arial" w:cs="Arial"/>
          <w:b/>
          <w:bCs/>
          <w:sz w:val="20"/>
          <w:lang w:eastAsia="zh-CN"/>
        </w:rPr>
        <w:t xml:space="preserve">the </w:t>
      </w:r>
      <w:r w:rsidRPr="00DA297D">
        <w:rPr>
          <w:rFonts w:ascii="Arial" w:eastAsia="SimSun" w:hAnsi="Arial" w:cs="Arial"/>
          <w:b/>
          <w:bCs/>
          <w:sz w:val="20"/>
          <w:lang w:eastAsia="zh-CN"/>
        </w:rPr>
        <w:t>Basel framework</w:t>
      </w:r>
    </w:p>
    <w:p w:rsidR="005F3F0A" w:rsidRDefault="00DA297D" w:rsidP="00DA297D">
      <w:pPr>
        <w:rPr>
          <w:rFonts w:ascii="Arial" w:eastAsia="SimSun" w:hAnsi="Arial" w:cs="Arial"/>
          <w:bCs/>
          <w:sz w:val="20"/>
          <w:lang w:eastAsia="zh-CN"/>
        </w:rPr>
      </w:pPr>
      <w:r w:rsidRPr="00DA297D">
        <w:rPr>
          <w:rFonts w:ascii="Arial" w:eastAsia="SimSun" w:hAnsi="Arial" w:cs="Arial"/>
          <w:bCs/>
          <w:sz w:val="20"/>
          <w:lang w:eastAsia="zh-CN"/>
        </w:rPr>
        <w:t>On 26 November</w:t>
      </w:r>
      <w:r w:rsidR="005F3F0A">
        <w:rPr>
          <w:rFonts w:ascii="Arial" w:eastAsia="SimSun" w:hAnsi="Arial" w:cs="Arial"/>
          <w:bCs/>
          <w:sz w:val="20"/>
          <w:lang w:eastAsia="zh-CN"/>
        </w:rPr>
        <w:t xml:space="preserve">, the BCBS and Basel Consultative Group (BCG) published a </w:t>
      </w:r>
      <w:r w:rsidR="00291BE4">
        <w:rPr>
          <w:rFonts w:ascii="Arial" w:eastAsia="SimSun" w:hAnsi="Arial" w:cs="Arial"/>
          <w:bCs/>
          <w:sz w:val="20"/>
          <w:lang w:eastAsia="zh-CN"/>
        </w:rPr>
        <w:t xml:space="preserve">joint </w:t>
      </w:r>
      <w:r w:rsidR="005F3F0A">
        <w:rPr>
          <w:rFonts w:ascii="Arial" w:eastAsia="SimSun" w:hAnsi="Arial" w:cs="Arial"/>
          <w:bCs/>
          <w:sz w:val="20"/>
          <w:lang w:eastAsia="zh-CN"/>
        </w:rPr>
        <w:t>statement</w:t>
      </w:r>
      <w:r w:rsidRPr="00DA297D">
        <w:rPr>
          <w:rFonts w:ascii="Arial" w:eastAsia="SimSun" w:hAnsi="Arial" w:cs="Arial"/>
          <w:bCs/>
          <w:sz w:val="20"/>
          <w:lang w:eastAsia="zh-CN"/>
        </w:rPr>
        <w:t xml:space="preserve"> on the use of proportionality in the implementation of the Basel framework.</w:t>
      </w:r>
      <w:r w:rsidR="00516534">
        <w:rPr>
          <w:rFonts w:ascii="Arial" w:eastAsia="SimSun" w:hAnsi="Arial" w:cs="Arial"/>
          <w:bCs/>
          <w:sz w:val="20"/>
          <w:lang w:eastAsia="zh-CN"/>
        </w:rPr>
        <w:t xml:space="preserve"> </w:t>
      </w:r>
      <w:r w:rsidR="005F3F0A">
        <w:rPr>
          <w:rFonts w:ascii="Arial" w:eastAsia="SimSun" w:hAnsi="Arial" w:cs="Arial"/>
          <w:bCs/>
          <w:sz w:val="20"/>
          <w:lang w:eastAsia="zh-CN"/>
        </w:rPr>
        <w:t xml:space="preserve">The BCBS and BCG support the use of proportionality, and explain that </w:t>
      </w:r>
      <w:r w:rsidR="00516534">
        <w:rPr>
          <w:rFonts w:ascii="Arial" w:eastAsia="SimSun" w:hAnsi="Arial" w:cs="Arial"/>
          <w:bCs/>
          <w:sz w:val="20"/>
          <w:lang w:eastAsia="zh-CN"/>
        </w:rPr>
        <w:t xml:space="preserve">it </w:t>
      </w:r>
      <w:r w:rsidR="005F3F0A">
        <w:rPr>
          <w:rFonts w:ascii="Arial" w:eastAsia="SimSun" w:hAnsi="Arial" w:cs="Arial"/>
          <w:bCs/>
          <w:sz w:val="20"/>
          <w:lang w:eastAsia="zh-CN"/>
        </w:rPr>
        <w:t>can take different forms, including, but not lim</w:t>
      </w:r>
      <w:r w:rsidR="00516534">
        <w:rPr>
          <w:rFonts w:ascii="Arial" w:eastAsia="SimSun" w:hAnsi="Arial" w:cs="Arial"/>
          <w:bCs/>
          <w:sz w:val="20"/>
          <w:lang w:eastAsia="zh-CN"/>
        </w:rPr>
        <w:t xml:space="preserve">ited to: </w:t>
      </w:r>
      <w:r w:rsidR="005F3F0A">
        <w:rPr>
          <w:rFonts w:ascii="Arial" w:eastAsia="SimSun" w:hAnsi="Arial" w:cs="Arial"/>
          <w:bCs/>
          <w:sz w:val="20"/>
          <w:lang w:eastAsia="zh-CN"/>
        </w:rPr>
        <w:t xml:space="preserve">(i) </w:t>
      </w:r>
      <w:r w:rsidR="005F3F0A" w:rsidRPr="005F3F0A">
        <w:rPr>
          <w:rFonts w:ascii="Arial" w:eastAsia="SimSun" w:hAnsi="Arial" w:cs="Arial"/>
          <w:bCs/>
          <w:sz w:val="20"/>
          <w:lang w:val="en" w:eastAsia="zh-CN"/>
        </w:rPr>
        <w:t>implementing the most appropriate approaches among those avai</w:t>
      </w:r>
      <w:r w:rsidR="005F3F0A">
        <w:rPr>
          <w:rFonts w:ascii="Arial" w:eastAsia="SimSun" w:hAnsi="Arial" w:cs="Arial"/>
          <w:bCs/>
          <w:sz w:val="20"/>
          <w:lang w:val="en" w:eastAsia="zh-CN"/>
        </w:rPr>
        <w:t xml:space="preserve">lable in the Basel Framework </w:t>
      </w:r>
      <w:r w:rsidR="005F3F0A" w:rsidRPr="005F3F0A">
        <w:rPr>
          <w:rFonts w:ascii="Arial" w:eastAsia="SimSun" w:hAnsi="Arial" w:cs="Arial"/>
          <w:bCs/>
          <w:sz w:val="20"/>
          <w:lang w:val="en" w:eastAsia="zh-CN"/>
        </w:rPr>
        <w:t>for internationally-active banks in member jurisdic</w:t>
      </w:r>
      <w:r w:rsidR="005F3F0A">
        <w:rPr>
          <w:rFonts w:ascii="Arial" w:eastAsia="SimSun" w:hAnsi="Arial" w:cs="Arial"/>
          <w:bCs/>
          <w:sz w:val="20"/>
          <w:lang w:val="en" w:eastAsia="zh-CN"/>
        </w:rPr>
        <w:t>tions</w:t>
      </w:r>
      <w:r w:rsidR="00291BE4">
        <w:rPr>
          <w:rFonts w:ascii="Arial" w:eastAsia="SimSun" w:hAnsi="Arial" w:cs="Arial"/>
          <w:bCs/>
          <w:sz w:val="20"/>
          <w:lang w:val="en" w:eastAsia="zh-CN"/>
        </w:rPr>
        <w:t xml:space="preserve"> - t</w:t>
      </w:r>
      <w:r w:rsidR="005F3F0A">
        <w:rPr>
          <w:rFonts w:ascii="Arial" w:eastAsia="SimSun" w:hAnsi="Arial" w:cs="Arial"/>
          <w:bCs/>
          <w:sz w:val="20"/>
          <w:lang w:val="en" w:eastAsia="zh-CN"/>
        </w:rPr>
        <w:t>here is no expectation</w:t>
      </w:r>
      <w:r w:rsidR="00291BE4">
        <w:rPr>
          <w:rFonts w:ascii="Arial" w:eastAsia="SimSun" w:hAnsi="Arial" w:cs="Arial"/>
          <w:bCs/>
          <w:sz w:val="20"/>
          <w:lang w:val="en" w:eastAsia="zh-CN"/>
        </w:rPr>
        <w:t xml:space="preserve"> that they must use internally </w:t>
      </w:r>
      <w:proofErr w:type="spellStart"/>
      <w:r w:rsidR="005F3F0A" w:rsidRPr="005F3F0A">
        <w:rPr>
          <w:rFonts w:ascii="Arial" w:eastAsia="SimSun" w:hAnsi="Arial" w:cs="Arial"/>
          <w:bCs/>
          <w:sz w:val="20"/>
          <w:lang w:val="en" w:eastAsia="zh-CN"/>
        </w:rPr>
        <w:t>modelled</w:t>
      </w:r>
      <w:proofErr w:type="spellEnd"/>
      <w:r w:rsidR="005F3F0A" w:rsidRPr="005F3F0A">
        <w:rPr>
          <w:rFonts w:ascii="Arial" w:eastAsia="SimSun" w:hAnsi="Arial" w:cs="Arial"/>
          <w:bCs/>
          <w:sz w:val="20"/>
          <w:lang w:val="en" w:eastAsia="zh-CN"/>
        </w:rPr>
        <w:t xml:space="preserve"> approaches; and</w:t>
      </w:r>
      <w:r w:rsidR="00516534">
        <w:rPr>
          <w:rFonts w:ascii="Arial" w:eastAsia="SimSun" w:hAnsi="Arial" w:cs="Arial"/>
          <w:bCs/>
          <w:sz w:val="20"/>
          <w:lang w:eastAsia="zh-CN"/>
        </w:rPr>
        <w:t xml:space="preserve"> </w:t>
      </w:r>
      <w:r w:rsidR="005F3F0A">
        <w:rPr>
          <w:rFonts w:ascii="Arial" w:eastAsia="SimSun" w:hAnsi="Arial" w:cs="Arial"/>
          <w:bCs/>
          <w:sz w:val="20"/>
          <w:lang w:eastAsia="zh-CN"/>
        </w:rPr>
        <w:t>(ii) i</w:t>
      </w:r>
      <w:r w:rsidRPr="00DA297D">
        <w:rPr>
          <w:rFonts w:ascii="Arial" w:eastAsia="SimSun" w:hAnsi="Arial" w:cs="Arial"/>
          <w:bCs/>
          <w:sz w:val="20"/>
          <w:lang w:eastAsia="zh-CN"/>
        </w:rPr>
        <w:t>mplementing standards for banks in non-BCBS member jurisdictions that are broadly consistent with the principles of the applicable Basel standards.</w:t>
      </w:r>
      <w:r w:rsidR="00516534">
        <w:rPr>
          <w:rFonts w:ascii="Arial" w:eastAsia="SimSun" w:hAnsi="Arial" w:cs="Arial"/>
          <w:bCs/>
          <w:sz w:val="20"/>
          <w:lang w:eastAsia="zh-CN"/>
        </w:rPr>
        <w:t xml:space="preserve"> </w:t>
      </w:r>
      <w:r w:rsidR="005F3F0A">
        <w:rPr>
          <w:rFonts w:ascii="Arial" w:eastAsia="SimSun" w:hAnsi="Arial" w:cs="Arial"/>
          <w:bCs/>
          <w:sz w:val="20"/>
          <w:lang w:eastAsia="zh-CN"/>
        </w:rPr>
        <w:t>The statement confirms that a proportionate regulatory framework should not reduce the resilience of banks or dilute the prudential regulatory framework, but reflect the relative differences in risk and complexity across banks and the markets in which they operate.</w:t>
      </w:r>
    </w:p>
    <w:p w:rsidR="00DA297D" w:rsidRPr="00DA297D" w:rsidRDefault="00AE3A4B" w:rsidP="00DA297D">
      <w:pPr>
        <w:rPr>
          <w:rFonts w:ascii="Arial" w:eastAsia="SimSun" w:hAnsi="Arial" w:cs="Arial"/>
          <w:bCs/>
          <w:sz w:val="20"/>
          <w:lang w:eastAsia="zh-CN"/>
        </w:rPr>
      </w:pPr>
      <w:hyperlink r:id="rId31" w:history="1">
        <w:r w:rsidR="00DA297D">
          <w:rPr>
            <w:rStyle w:val="Hyperlink"/>
            <w:rFonts w:ascii="Arial" w:eastAsia="SimSun" w:hAnsi="Arial" w:cs="Arial"/>
            <w:bCs/>
            <w:sz w:val="20"/>
            <w:lang w:eastAsia="zh-CN"/>
          </w:rPr>
          <w:t>Read more</w:t>
        </w:r>
      </w:hyperlink>
      <w:r w:rsidR="00DA297D">
        <w:rPr>
          <w:rFonts w:ascii="Arial" w:eastAsia="SimSun" w:hAnsi="Arial" w:cs="Arial"/>
          <w:bCs/>
          <w:sz w:val="20"/>
          <w:lang w:eastAsia="zh-CN"/>
        </w:rPr>
        <w:t xml:space="preserve"> </w:t>
      </w:r>
    </w:p>
    <w:p w:rsidR="00DA297D" w:rsidRDefault="00DA297D" w:rsidP="008261EC">
      <w:pPr>
        <w:rPr>
          <w:rFonts w:ascii="Arial" w:eastAsia="SimSun" w:hAnsi="Arial" w:cs="Arial"/>
          <w:b/>
          <w:bCs/>
          <w:sz w:val="20"/>
          <w:lang w:eastAsia="zh-CN"/>
        </w:rPr>
      </w:pPr>
    </w:p>
    <w:p w:rsidR="008261EC" w:rsidRPr="00884DCC" w:rsidRDefault="008261EC" w:rsidP="008261EC">
      <w:pPr>
        <w:rPr>
          <w:rFonts w:ascii="Arial" w:eastAsia="SimSun" w:hAnsi="Arial" w:cs="Arial"/>
          <w:b/>
          <w:bCs/>
          <w:sz w:val="20"/>
          <w:lang w:eastAsia="zh-CN"/>
        </w:rPr>
      </w:pPr>
      <w:r w:rsidRPr="00884DCC">
        <w:rPr>
          <w:rFonts w:ascii="Arial" w:eastAsia="SimSun" w:hAnsi="Arial" w:cs="Arial"/>
          <w:b/>
          <w:bCs/>
          <w:sz w:val="20"/>
          <w:lang w:eastAsia="zh-CN"/>
        </w:rPr>
        <w:t>ECB letter to Board of banks with an update on Targeted Review of Internal Models (TRIM)</w:t>
      </w:r>
    </w:p>
    <w:p w:rsidR="008261EC" w:rsidRPr="00884DCC" w:rsidRDefault="00884DCC" w:rsidP="008261EC">
      <w:pPr>
        <w:rPr>
          <w:rFonts w:ascii="Arial" w:eastAsia="SimSun" w:hAnsi="Arial" w:cs="Arial"/>
          <w:bCs/>
          <w:sz w:val="20"/>
          <w:lang w:eastAsia="zh-CN"/>
        </w:rPr>
      </w:pPr>
      <w:r w:rsidRPr="00884DCC">
        <w:rPr>
          <w:rFonts w:ascii="Arial" w:eastAsia="SimSun" w:hAnsi="Arial" w:cs="Arial"/>
          <w:bCs/>
          <w:sz w:val="20"/>
          <w:lang w:eastAsia="zh-CN"/>
        </w:rPr>
        <w:t>On 22</w:t>
      </w:r>
      <w:r w:rsidR="008261EC" w:rsidRPr="00884DCC">
        <w:rPr>
          <w:rFonts w:ascii="Arial" w:eastAsia="SimSun" w:hAnsi="Arial" w:cs="Arial"/>
          <w:bCs/>
          <w:sz w:val="20"/>
          <w:lang w:eastAsia="zh-CN"/>
        </w:rPr>
        <w:t xml:space="preserve"> November, the ECB published a letter sent to the Board of banks with its third update on TRIM outcomes. The letter states that a significant milestone has been reached with the successful conclusion of the last set of on-site investigations for the TRIM project, and the ECB is now in the process of finalising analysis for the last set of investigations. The ECB intends to discuss its key achievements and next steps for internal models in Q2 2020. </w:t>
      </w:r>
    </w:p>
    <w:p w:rsidR="008261EC" w:rsidRPr="008261EC" w:rsidRDefault="00AE3A4B" w:rsidP="008261EC">
      <w:pPr>
        <w:rPr>
          <w:rFonts w:ascii="Arial" w:eastAsia="SimSun" w:hAnsi="Arial" w:cs="Arial"/>
          <w:bCs/>
          <w:sz w:val="20"/>
          <w:lang w:eastAsia="zh-CN"/>
        </w:rPr>
      </w:pPr>
      <w:hyperlink r:id="rId32" w:history="1">
        <w:r w:rsidR="008261EC" w:rsidRPr="00884DCC">
          <w:rPr>
            <w:rStyle w:val="Hyperlink"/>
            <w:rFonts w:ascii="Arial" w:eastAsia="SimSun" w:hAnsi="Arial" w:cs="Arial"/>
            <w:bCs/>
            <w:sz w:val="20"/>
            <w:lang w:eastAsia="zh-CN"/>
          </w:rPr>
          <w:t>Read more</w:t>
        </w:r>
      </w:hyperlink>
      <w:r w:rsidR="008261EC" w:rsidRPr="008261EC">
        <w:rPr>
          <w:rFonts w:ascii="Arial" w:eastAsia="SimSun" w:hAnsi="Arial" w:cs="Arial"/>
          <w:bCs/>
          <w:sz w:val="20"/>
          <w:lang w:eastAsia="zh-CN"/>
        </w:rPr>
        <w:t xml:space="preserve"> </w:t>
      </w:r>
    </w:p>
    <w:p w:rsidR="00FB6D3C" w:rsidRDefault="00FB6D3C" w:rsidP="00E35527">
      <w:pPr>
        <w:rPr>
          <w:rFonts w:ascii="Arial" w:eastAsia="SimSun" w:hAnsi="Arial" w:cs="Arial"/>
          <w:b/>
          <w:bCs/>
          <w:sz w:val="20"/>
          <w:highlight w:val="yellow"/>
          <w:lang w:eastAsia="zh-CN"/>
        </w:rPr>
      </w:pPr>
    </w:p>
    <w:p w:rsidR="00FB6D3C" w:rsidRPr="00FB6D3C" w:rsidRDefault="00FB6D3C" w:rsidP="00FB6D3C">
      <w:pPr>
        <w:rPr>
          <w:rFonts w:ascii="Arial" w:eastAsia="SimSun" w:hAnsi="Arial" w:cs="Arial"/>
          <w:b/>
          <w:bCs/>
          <w:sz w:val="20"/>
          <w:lang w:eastAsia="zh-CN"/>
        </w:rPr>
      </w:pPr>
      <w:r w:rsidRPr="00FB6D3C">
        <w:rPr>
          <w:rFonts w:ascii="Arial" w:eastAsia="SimSun" w:hAnsi="Arial" w:cs="Arial"/>
          <w:b/>
          <w:bCs/>
          <w:sz w:val="20"/>
          <w:lang w:eastAsia="zh-CN"/>
        </w:rPr>
        <w:t>EBA consultation paper on draft ITS regarding disclosure and reporting of MREL and TLAC</w:t>
      </w:r>
    </w:p>
    <w:p w:rsidR="00FB6D3C" w:rsidRPr="00FB6D3C" w:rsidRDefault="00FB6D3C" w:rsidP="00FB6D3C">
      <w:pPr>
        <w:rPr>
          <w:rFonts w:ascii="Arial" w:eastAsia="SimSun" w:hAnsi="Arial" w:cs="Arial"/>
          <w:bCs/>
          <w:sz w:val="20"/>
          <w:lang w:eastAsia="zh-CN"/>
        </w:rPr>
      </w:pPr>
      <w:r w:rsidRPr="00FB6D3C">
        <w:rPr>
          <w:rFonts w:ascii="Arial" w:eastAsia="SimSun" w:hAnsi="Arial" w:cs="Arial"/>
          <w:bCs/>
          <w:sz w:val="20"/>
          <w:lang w:eastAsia="zh-CN"/>
        </w:rPr>
        <w:t>On 22 November, the EBA published a con</w:t>
      </w:r>
      <w:r>
        <w:rPr>
          <w:rFonts w:ascii="Arial" w:eastAsia="SimSun" w:hAnsi="Arial" w:cs="Arial"/>
          <w:bCs/>
          <w:sz w:val="20"/>
          <w:lang w:eastAsia="zh-CN"/>
        </w:rPr>
        <w:t>sultation paper</w:t>
      </w:r>
      <w:r w:rsidRPr="00FB6D3C">
        <w:rPr>
          <w:rFonts w:ascii="Arial" w:eastAsia="SimSun" w:hAnsi="Arial" w:cs="Arial"/>
          <w:bCs/>
          <w:sz w:val="20"/>
          <w:lang w:eastAsia="zh-CN"/>
        </w:rPr>
        <w:t xml:space="preserve"> on draft implementing technical standards </w:t>
      </w:r>
      <w:r>
        <w:rPr>
          <w:rFonts w:ascii="Arial" w:eastAsia="SimSun" w:hAnsi="Arial" w:cs="Arial"/>
          <w:bCs/>
          <w:sz w:val="20"/>
          <w:lang w:eastAsia="zh-CN"/>
        </w:rPr>
        <w:t>on disclosure</w:t>
      </w:r>
      <w:r w:rsidR="004D6B26">
        <w:rPr>
          <w:rFonts w:ascii="Arial" w:eastAsia="SimSun" w:hAnsi="Arial" w:cs="Arial"/>
          <w:bCs/>
          <w:sz w:val="20"/>
          <w:lang w:eastAsia="zh-CN"/>
        </w:rPr>
        <w:t xml:space="preserve"> and</w:t>
      </w:r>
      <w:r>
        <w:rPr>
          <w:rFonts w:ascii="Arial" w:eastAsia="SimSun" w:hAnsi="Arial" w:cs="Arial"/>
          <w:bCs/>
          <w:sz w:val="20"/>
          <w:lang w:eastAsia="zh-CN"/>
        </w:rPr>
        <w:t xml:space="preserve"> reporting of MREL and TLAC</w:t>
      </w:r>
      <w:r w:rsidRPr="00FB6D3C">
        <w:rPr>
          <w:rFonts w:ascii="Arial" w:eastAsia="SimSun" w:hAnsi="Arial" w:cs="Arial"/>
          <w:bCs/>
          <w:sz w:val="20"/>
          <w:lang w:eastAsia="zh-CN"/>
        </w:rPr>
        <w:t>.</w:t>
      </w:r>
      <w:r>
        <w:rPr>
          <w:rFonts w:ascii="Arial" w:eastAsia="SimSun" w:hAnsi="Arial" w:cs="Arial"/>
          <w:bCs/>
          <w:sz w:val="20"/>
          <w:lang w:eastAsia="zh-CN"/>
        </w:rPr>
        <w:t xml:space="preserve"> The consultation paper</w:t>
      </w:r>
      <w:r w:rsidRPr="00FB6D3C">
        <w:rPr>
          <w:rFonts w:ascii="Arial" w:eastAsia="SimSun" w:hAnsi="Arial" w:cs="Arial"/>
          <w:bCs/>
          <w:sz w:val="20"/>
          <w:lang w:eastAsia="zh-CN"/>
        </w:rPr>
        <w:t xml:space="preserve"> includes proposals for templates and tables implementing the TLAC/MREL Basel Pillar 3 disclosure requirements and the supervisory reporting requirements. The EBA is also consulting on two recommended reporting templates covering the forecast of MREL and TLAC positions and funding structures and a </w:t>
      </w:r>
      <w:r w:rsidR="004D6B26">
        <w:rPr>
          <w:rFonts w:ascii="Arial" w:eastAsia="SimSun" w:hAnsi="Arial" w:cs="Arial"/>
          <w:bCs/>
          <w:sz w:val="20"/>
          <w:lang w:eastAsia="zh-CN"/>
        </w:rPr>
        <w:t xml:space="preserve">file </w:t>
      </w:r>
      <w:r w:rsidRPr="00FB6D3C">
        <w:rPr>
          <w:rFonts w:ascii="Arial" w:eastAsia="SimSun" w:hAnsi="Arial" w:cs="Arial"/>
          <w:bCs/>
          <w:sz w:val="20"/>
          <w:lang w:eastAsia="zh-CN"/>
        </w:rPr>
        <w:t>mapping disclosure and reporting</w:t>
      </w:r>
      <w:r w:rsidR="004D6B26">
        <w:rPr>
          <w:rFonts w:ascii="Arial" w:eastAsia="SimSun" w:hAnsi="Arial" w:cs="Arial"/>
          <w:bCs/>
          <w:sz w:val="20"/>
          <w:lang w:eastAsia="zh-CN"/>
        </w:rPr>
        <w:t xml:space="preserve"> requirements</w:t>
      </w:r>
      <w:r>
        <w:rPr>
          <w:rFonts w:ascii="Arial" w:eastAsia="SimSun" w:hAnsi="Arial" w:cs="Arial"/>
          <w:bCs/>
          <w:sz w:val="20"/>
          <w:lang w:eastAsia="zh-CN"/>
        </w:rPr>
        <w:t>.</w:t>
      </w:r>
      <w:r w:rsidRPr="00FB6D3C">
        <w:rPr>
          <w:rFonts w:ascii="Arial" w:eastAsia="SimSun" w:hAnsi="Arial" w:cs="Arial"/>
          <w:bCs/>
          <w:sz w:val="20"/>
          <w:lang w:eastAsia="zh-CN"/>
        </w:rPr>
        <w:t xml:space="preserve"> The deadline for comments is 22 February 2020. </w:t>
      </w:r>
    </w:p>
    <w:p w:rsidR="00FB6D3C" w:rsidRPr="00FB6D3C" w:rsidRDefault="00AE3A4B" w:rsidP="00FB6D3C">
      <w:pPr>
        <w:rPr>
          <w:rFonts w:ascii="Arial" w:eastAsia="SimSun" w:hAnsi="Arial" w:cs="Arial"/>
          <w:bCs/>
          <w:sz w:val="20"/>
          <w:lang w:eastAsia="zh-CN"/>
        </w:rPr>
      </w:pPr>
      <w:hyperlink r:id="rId33" w:history="1">
        <w:r w:rsidR="00FB6D3C" w:rsidRPr="00FB6D3C">
          <w:rPr>
            <w:rStyle w:val="Hyperlink"/>
            <w:rFonts w:ascii="Arial" w:eastAsia="SimSun" w:hAnsi="Arial" w:cs="Arial"/>
            <w:bCs/>
            <w:sz w:val="20"/>
            <w:lang w:eastAsia="zh-CN"/>
          </w:rPr>
          <w:t>Read More</w:t>
        </w:r>
      </w:hyperlink>
    </w:p>
    <w:p w:rsidR="00DA297D" w:rsidRDefault="00DA297D" w:rsidP="008D380E">
      <w:pPr>
        <w:rPr>
          <w:rFonts w:ascii="Arial" w:eastAsia="SimSun" w:hAnsi="Arial" w:cs="Arial"/>
          <w:b/>
          <w:bCs/>
          <w:color w:val="800000"/>
          <w:sz w:val="20"/>
          <w:lang w:eastAsia="zh-CN"/>
        </w:rPr>
      </w:pPr>
    </w:p>
    <w:p w:rsidR="009D69DF" w:rsidRDefault="009D69DF" w:rsidP="008D380E">
      <w:pPr>
        <w:rPr>
          <w:rFonts w:ascii="Arial" w:eastAsia="SimSun" w:hAnsi="Arial" w:cs="Arial"/>
          <w:b/>
          <w:bCs/>
          <w:color w:val="800000"/>
          <w:sz w:val="20"/>
          <w:lang w:eastAsia="zh-CN"/>
        </w:rPr>
      </w:pPr>
      <w:r>
        <w:rPr>
          <w:rFonts w:ascii="Arial" w:eastAsia="SimSun" w:hAnsi="Arial" w:cs="Arial"/>
          <w:b/>
          <w:bCs/>
          <w:color w:val="800000"/>
          <w:sz w:val="20"/>
          <w:lang w:eastAsia="zh-CN"/>
        </w:rPr>
        <w:t>SUSTAINABLE FINANCE</w:t>
      </w:r>
    </w:p>
    <w:p w:rsidR="009D69DF" w:rsidRDefault="009D69DF" w:rsidP="008D380E">
      <w:pPr>
        <w:rPr>
          <w:rFonts w:ascii="Arial" w:eastAsia="SimSun" w:hAnsi="Arial" w:cs="Arial"/>
          <w:b/>
          <w:bCs/>
          <w:color w:val="800000"/>
          <w:sz w:val="20"/>
          <w:lang w:eastAsia="zh-CN"/>
        </w:rPr>
      </w:pPr>
    </w:p>
    <w:p w:rsidR="009D69DF" w:rsidRDefault="00594AA4" w:rsidP="009D69DF">
      <w:pPr>
        <w:rPr>
          <w:rFonts w:ascii="Arial" w:eastAsia="SimSun" w:hAnsi="Arial" w:cs="Arial"/>
          <w:b/>
          <w:bCs/>
          <w:sz w:val="20"/>
          <w:lang w:eastAsia="zh-CN"/>
        </w:rPr>
      </w:pPr>
      <w:r w:rsidRPr="00731339">
        <w:rPr>
          <w:rFonts w:ascii="Arial" w:eastAsia="SimSun" w:hAnsi="Arial" w:cs="Arial"/>
          <w:b/>
          <w:bCs/>
          <w:sz w:val="20"/>
          <w:lang w:eastAsia="zh-CN"/>
        </w:rPr>
        <w:t>S</w:t>
      </w:r>
      <w:r w:rsidR="009D69DF" w:rsidRPr="00731339">
        <w:rPr>
          <w:rFonts w:ascii="Arial" w:eastAsia="SimSun" w:hAnsi="Arial" w:cs="Arial"/>
          <w:b/>
          <w:bCs/>
          <w:sz w:val="20"/>
          <w:lang w:eastAsia="zh-CN"/>
        </w:rPr>
        <w:t>ustainable finance</w:t>
      </w:r>
      <w:r w:rsidRPr="00731339">
        <w:rPr>
          <w:rFonts w:ascii="Arial" w:eastAsia="SimSun" w:hAnsi="Arial" w:cs="Arial"/>
          <w:b/>
          <w:bCs/>
          <w:sz w:val="20"/>
          <w:lang w:eastAsia="zh-CN"/>
        </w:rPr>
        <w:t xml:space="preserve"> legislation signed in Strasbourg</w:t>
      </w:r>
      <w:r w:rsidR="009D69DF">
        <w:rPr>
          <w:rFonts w:ascii="Arial" w:eastAsia="SimSun" w:hAnsi="Arial" w:cs="Arial"/>
          <w:b/>
          <w:bCs/>
          <w:sz w:val="20"/>
          <w:lang w:eastAsia="zh-CN"/>
        </w:rPr>
        <w:t xml:space="preserve"> </w:t>
      </w:r>
    </w:p>
    <w:p w:rsidR="00594AA4" w:rsidRDefault="00594AA4" w:rsidP="009D69DF">
      <w:pPr>
        <w:rPr>
          <w:rFonts w:ascii="Arial" w:eastAsia="SimSun" w:hAnsi="Arial" w:cs="Arial"/>
          <w:bCs/>
          <w:sz w:val="20"/>
          <w:lang w:eastAsia="zh-CN"/>
        </w:rPr>
      </w:pPr>
      <w:r>
        <w:rPr>
          <w:rFonts w:ascii="Arial" w:eastAsia="SimSun" w:hAnsi="Arial" w:cs="Arial"/>
          <w:bCs/>
          <w:sz w:val="20"/>
          <w:lang w:eastAsia="zh-CN"/>
        </w:rPr>
        <w:t>On 27</w:t>
      </w:r>
      <w:r w:rsidR="009D69DF">
        <w:rPr>
          <w:rFonts w:ascii="Arial" w:eastAsia="SimSun" w:hAnsi="Arial" w:cs="Arial"/>
          <w:bCs/>
          <w:sz w:val="20"/>
          <w:lang w:eastAsia="zh-CN"/>
        </w:rPr>
        <w:t xml:space="preserve"> November, </w:t>
      </w:r>
      <w:r>
        <w:rPr>
          <w:rFonts w:ascii="Arial" w:eastAsia="SimSun" w:hAnsi="Arial" w:cs="Arial"/>
          <w:bCs/>
          <w:sz w:val="20"/>
          <w:lang w:eastAsia="zh-CN"/>
        </w:rPr>
        <w:t xml:space="preserve">the </w:t>
      </w:r>
      <w:r>
        <w:rPr>
          <w:rFonts w:ascii="Arial" w:eastAsiaTheme="minorEastAsia" w:hAnsi="Arial"/>
          <w:sz w:val="20"/>
        </w:rPr>
        <w:t>texts of two sustainable finance regulations relating to low carbon benchmarks and sustainability-related disclosures were signed in Strasbourg, and will now be published in the OJ.</w:t>
      </w:r>
    </w:p>
    <w:p w:rsidR="00594AA4" w:rsidRDefault="00AE3A4B" w:rsidP="008D380E">
      <w:pPr>
        <w:rPr>
          <w:rFonts w:ascii="Arial" w:eastAsia="SimSun" w:hAnsi="Arial" w:cs="Arial"/>
          <w:bCs/>
          <w:color w:val="800000"/>
          <w:sz w:val="20"/>
          <w:lang w:eastAsia="zh-CN"/>
        </w:rPr>
      </w:pPr>
      <w:hyperlink r:id="rId34" w:history="1">
        <w:r w:rsidR="00594AA4">
          <w:rPr>
            <w:rStyle w:val="Hyperlink"/>
            <w:rFonts w:ascii="Arial" w:eastAsia="SimSun" w:hAnsi="Arial" w:cs="Arial"/>
            <w:bCs/>
            <w:sz w:val="20"/>
            <w:lang w:eastAsia="zh-CN"/>
          </w:rPr>
          <w:t>Text of Low Carbon Benchmarks Regulation</w:t>
        </w:r>
      </w:hyperlink>
      <w:r w:rsidR="00594AA4">
        <w:rPr>
          <w:rFonts w:ascii="Arial" w:eastAsia="SimSun" w:hAnsi="Arial" w:cs="Arial"/>
          <w:bCs/>
          <w:color w:val="800000"/>
          <w:sz w:val="20"/>
          <w:lang w:eastAsia="zh-CN"/>
        </w:rPr>
        <w:t xml:space="preserve"> </w:t>
      </w:r>
    </w:p>
    <w:p w:rsidR="00594AA4" w:rsidRPr="00594AA4" w:rsidRDefault="00AE3A4B" w:rsidP="008D380E">
      <w:pPr>
        <w:rPr>
          <w:rFonts w:ascii="Arial" w:eastAsia="SimSun" w:hAnsi="Arial" w:cs="Arial"/>
          <w:bCs/>
          <w:color w:val="800000"/>
          <w:sz w:val="20"/>
          <w:lang w:eastAsia="zh-CN"/>
        </w:rPr>
      </w:pPr>
      <w:hyperlink r:id="rId35" w:history="1">
        <w:r w:rsidR="00594AA4" w:rsidRPr="00594AA4">
          <w:rPr>
            <w:rStyle w:val="Hyperlink"/>
            <w:rFonts w:ascii="Arial" w:eastAsia="SimSun" w:hAnsi="Arial" w:cs="Arial"/>
            <w:bCs/>
            <w:sz w:val="20"/>
            <w:lang w:eastAsia="zh-CN"/>
          </w:rPr>
          <w:t>Text of Disclosure Regulation</w:t>
        </w:r>
      </w:hyperlink>
      <w:r w:rsidR="00594AA4" w:rsidRPr="00594AA4">
        <w:rPr>
          <w:rFonts w:ascii="Arial" w:eastAsia="SimSun" w:hAnsi="Arial" w:cs="Arial"/>
          <w:bCs/>
          <w:color w:val="800000"/>
          <w:sz w:val="20"/>
          <w:lang w:eastAsia="zh-CN"/>
        </w:rPr>
        <w:t xml:space="preserve"> </w:t>
      </w:r>
    </w:p>
    <w:p w:rsidR="009D69DF" w:rsidRDefault="009D69DF" w:rsidP="008D380E">
      <w:pPr>
        <w:rPr>
          <w:rFonts w:ascii="Arial" w:eastAsia="SimSun" w:hAnsi="Arial" w:cs="Arial"/>
          <w:b/>
          <w:bCs/>
          <w:color w:val="800000"/>
          <w:sz w:val="20"/>
          <w:lang w:eastAsia="zh-CN"/>
        </w:rPr>
      </w:pPr>
    </w:p>
    <w:p w:rsidR="00004116" w:rsidRPr="00E35527" w:rsidRDefault="00004116" w:rsidP="008D380E">
      <w:pPr>
        <w:rPr>
          <w:rFonts w:ascii="Arial" w:eastAsia="SimSun" w:hAnsi="Arial" w:cs="Arial"/>
          <w:b/>
          <w:bCs/>
          <w:color w:val="800000"/>
          <w:sz w:val="20"/>
          <w:lang w:eastAsia="zh-CN"/>
        </w:rPr>
      </w:pPr>
      <w:r w:rsidRPr="00E35527">
        <w:rPr>
          <w:rFonts w:ascii="Arial" w:eastAsia="SimSun" w:hAnsi="Arial" w:cs="Arial"/>
          <w:b/>
          <w:bCs/>
          <w:color w:val="800000"/>
          <w:sz w:val="20"/>
          <w:lang w:eastAsia="zh-CN"/>
        </w:rPr>
        <w:t>OTHER DEVELOPMENTS</w:t>
      </w:r>
    </w:p>
    <w:p w:rsidR="00004116" w:rsidRDefault="00004116" w:rsidP="008D380E">
      <w:pPr>
        <w:rPr>
          <w:rFonts w:ascii="Arial" w:eastAsia="SimSun" w:hAnsi="Arial" w:cs="Arial"/>
          <w:b/>
          <w:bCs/>
          <w:sz w:val="20"/>
          <w:lang w:eastAsia="zh-CN"/>
        </w:rPr>
      </w:pPr>
    </w:p>
    <w:p w:rsidR="00D47B24" w:rsidRPr="00D47B24" w:rsidRDefault="00D47B24" w:rsidP="00D47B24">
      <w:pPr>
        <w:rPr>
          <w:rFonts w:ascii="Arial" w:eastAsia="SimSun" w:hAnsi="Arial" w:cs="Arial"/>
          <w:b/>
          <w:bCs/>
          <w:sz w:val="20"/>
          <w:szCs w:val="20"/>
          <w:lang w:eastAsia="zh-CN"/>
        </w:rPr>
      </w:pPr>
      <w:r w:rsidRPr="00731339">
        <w:rPr>
          <w:rFonts w:ascii="Arial" w:eastAsia="SimSun" w:hAnsi="Arial" w:cs="Arial"/>
          <w:b/>
          <w:bCs/>
          <w:sz w:val="20"/>
          <w:szCs w:val="20"/>
          <w:lang w:eastAsia="zh-CN"/>
        </w:rPr>
        <w:t>EBA final report on guidelines regarding ICT and security risk management</w:t>
      </w:r>
    </w:p>
    <w:p w:rsidR="00D47B24" w:rsidRDefault="00D47B24" w:rsidP="00D47B24">
      <w:pPr>
        <w:rPr>
          <w:rFonts w:ascii="Arial" w:eastAsia="SimSun" w:hAnsi="Arial" w:cs="Arial"/>
          <w:bCs/>
          <w:sz w:val="20"/>
          <w:szCs w:val="20"/>
          <w:lang w:eastAsia="zh-CN"/>
        </w:rPr>
      </w:pPr>
      <w:r w:rsidRPr="00D47B24">
        <w:rPr>
          <w:rFonts w:ascii="Arial" w:eastAsia="SimSun" w:hAnsi="Arial" w:cs="Arial"/>
          <w:bCs/>
          <w:sz w:val="20"/>
          <w:szCs w:val="20"/>
          <w:lang w:eastAsia="zh-CN"/>
        </w:rPr>
        <w:t xml:space="preserve">On 28 November, the EBA published a </w:t>
      </w:r>
      <w:r w:rsidRPr="00003306">
        <w:rPr>
          <w:rFonts w:ascii="Arial" w:eastAsia="SimSun" w:hAnsi="Arial" w:cs="Arial"/>
          <w:bCs/>
          <w:iCs/>
          <w:sz w:val="20"/>
          <w:szCs w:val="20"/>
          <w:lang w:eastAsia="zh-CN"/>
        </w:rPr>
        <w:t>final report</w:t>
      </w:r>
      <w:r w:rsidRPr="00D47B24">
        <w:rPr>
          <w:rFonts w:ascii="Arial" w:eastAsia="SimSun" w:hAnsi="Arial" w:cs="Arial"/>
          <w:bCs/>
          <w:sz w:val="20"/>
          <w:szCs w:val="20"/>
          <w:lang w:eastAsia="zh-CN"/>
        </w:rPr>
        <w:t xml:space="preserve"> </w:t>
      </w:r>
      <w:r>
        <w:rPr>
          <w:rFonts w:ascii="Arial" w:eastAsia="SimSun" w:hAnsi="Arial" w:cs="Arial"/>
          <w:bCs/>
          <w:sz w:val="20"/>
          <w:szCs w:val="20"/>
          <w:lang w:eastAsia="zh-CN"/>
        </w:rPr>
        <w:t>with</w:t>
      </w:r>
      <w:r w:rsidRPr="00D47B24">
        <w:rPr>
          <w:rFonts w:ascii="Arial" w:eastAsia="SimSun" w:hAnsi="Arial" w:cs="Arial"/>
          <w:bCs/>
          <w:sz w:val="20"/>
          <w:szCs w:val="20"/>
          <w:lang w:eastAsia="zh-CN"/>
        </w:rPr>
        <w:t xml:space="preserve"> </w:t>
      </w:r>
      <w:r w:rsidR="00003306">
        <w:rPr>
          <w:rFonts w:ascii="Arial" w:eastAsia="SimSun" w:hAnsi="Arial" w:cs="Arial"/>
          <w:bCs/>
          <w:sz w:val="20"/>
          <w:szCs w:val="20"/>
          <w:lang w:eastAsia="zh-CN"/>
        </w:rPr>
        <w:t>guidelines on ICT</w:t>
      </w:r>
      <w:r w:rsidRPr="00D47B24">
        <w:rPr>
          <w:rFonts w:ascii="Arial" w:eastAsia="SimSun" w:hAnsi="Arial" w:cs="Arial"/>
          <w:bCs/>
          <w:sz w:val="20"/>
          <w:szCs w:val="20"/>
          <w:lang w:eastAsia="zh-CN"/>
        </w:rPr>
        <w:t xml:space="preserve"> and security </w:t>
      </w:r>
      <w:r w:rsidR="00003306">
        <w:rPr>
          <w:rFonts w:ascii="Arial" w:eastAsia="SimSun" w:hAnsi="Arial" w:cs="Arial"/>
          <w:bCs/>
          <w:sz w:val="20"/>
          <w:szCs w:val="20"/>
          <w:lang w:eastAsia="zh-CN"/>
        </w:rPr>
        <w:t>risk management</w:t>
      </w:r>
      <w:r w:rsidRPr="00D47B24">
        <w:rPr>
          <w:rFonts w:ascii="Arial" w:eastAsia="SimSun" w:hAnsi="Arial" w:cs="Arial"/>
          <w:bCs/>
          <w:sz w:val="20"/>
          <w:szCs w:val="20"/>
          <w:lang w:eastAsia="zh-CN"/>
        </w:rPr>
        <w:t>.</w:t>
      </w:r>
    </w:p>
    <w:p w:rsidR="001B676F" w:rsidRPr="00D47B24" w:rsidRDefault="00403553" w:rsidP="00D47B24">
      <w:pPr>
        <w:rPr>
          <w:rFonts w:ascii="Arial" w:eastAsia="SimSun" w:hAnsi="Arial" w:cs="Arial"/>
          <w:bCs/>
          <w:sz w:val="20"/>
          <w:szCs w:val="20"/>
          <w:lang w:eastAsia="zh-CN"/>
        </w:rPr>
      </w:pPr>
      <w:r>
        <w:rPr>
          <w:rFonts w:ascii="Arial" w:eastAsia="SimSun" w:hAnsi="Arial" w:cs="Arial"/>
          <w:bCs/>
          <w:sz w:val="20"/>
          <w:szCs w:val="20"/>
          <w:lang w:eastAsia="zh-CN"/>
        </w:rPr>
        <w:t xml:space="preserve">The guidelines provide details on how financial institutions should comply in order to address ICT and security risks, in accordance with Article 94 of CRD IV and Article 95 of PSD2. </w:t>
      </w:r>
      <w:r w:rsidR="00D47B24" w:rsidRPr="00D47B24">
        <w:rPr>
          <w:rFonts w:ascii="Arial" w:eastAsia="SimSun" w:hAnsi="Arial" w:cs="Arial"/>
          <w:bCs/>
          <w:sz w:val="20"/>
          <w:szCs w:val="20"/>
          <w:lang w:eastAsia="zh-CN"/>
        </w:rPr>
        <w:t>Among other things, the gu</w:t>
      </w:r>
      <w:r>
        <w:rPr>
          <w:rFonts w:ascii="Arial" w:eastAsia="SimSun" w:hAnsi="Arial" w:cs="Arial"/>
          <w:bCs/>
          <w:sz w:val="20"/>
          <w:szCs w:val="20"/>
          <w:lang w:eastAsia="zh-CN"/>
        </w:rPr>
        <w:t>idelines outline expectations regarding</w:t>
      </w:r>
      <w:r w:rsidR="00D47B24" w:rsidRPr="00D47B24">
        <w:rPr>
          <w:rFonts w:ascii="Arial" w:eastAsia="SimSun" w:hAnsi="Arial" w:cs="Arial"/>
          <w:bCs/>
          <w:sz w:val="20"/>
          <w:szCs w:val="20"/>
          <w:lang w:eastAsia="zh-CN"/>
        </w:rPr>
        <w:t xml:space="preserve"> governance, risk assessment processes, information security requiremen</w:t>
      </w:r>
      <w:r>
        <w:rPr>
          <w:rFonts w:ascii="Arial" w:eastAsia="SimSun" w:hAnsi="Arial" w:cs="Arial"/>
          <w:bCs/>
          <w:sz w:val="20"/>
          <w:szCs w:val="20"/>
          <w:lang w:eastAsia="zh-CN"/>
        </w:rPr>
        <w:t xml:space="preserve">ts, ICT operational management and </w:t>
      </w:r>
      <w:r w:rsidR="00D47B24" w:rsidRPr="00D47B24">
        <w:rPr>
          <w:rFonts w:ascii="Arial" w:eastAsia="SimSun" w:hAnsi="Arial" w:cs="Arial"/>
          <w:bCs/>
          <w:sz w:val="20"/>
          <w:szCs w:val="20"/>
          <w:lang w:eastAsia="zh-CN"/>
        </w:rPr>
        <w:t>security in the ch</w:t>
      </w:r>
      <w:r>
        <w:rPr>
          <w:rFonts w:ascii="Arial" w:eastAsia="SimSun" w:hAnsi="Arial" w:cs="Arial"/>
          <w:bCs/>
          <w:sz w:val="20"/>
          <w:szCs w:val="20"/>
          <w:lang w:eastAsia="zh-CN"/>
        </w:rPr>
        <w:t xml:space="preserve">ange and development processes. </w:t>
      </w:r>
      <w:r w:rsidR="00D47B24" w:rsidRPr="00D47B24">
        <w:rPr>
          <w:rFonts w:ascii="Arial" w:eastAsia="SimSun" w:hAnsi="Arial" w:cs="Arial"/>
          <w:bCs/>
          <w:sz w:val="20"/>
          <w:szCs w:val="20"/>
          <w:lang w:eastAsia="zh-CN"/>
        </w:rPr>
        <w:t xml:space="preserve">The guidelines will </w:t>
      </w:r>
      <w:r w:rsidR="001B676F">
        <w:rPr>
          <w:rFonts w:ascii="Arial" w:eastAsia="SimSun" w:hAnsi="Arial" w:cs="Arial"/>
          <w:bCs/>
          <w:sz w:val="20"/>
          <w:szCs w:val="20"/>
          <w:lang w:eastAsia="zh-CN"/>
        </w:rPr>
        <w:t>come</w:t>
      </w:r>
      <w:r w:rsidR="00D47B24" w:rsidRPr="00D47B24">
        <w:rPr>
          <w:rFonts w:ascii="Arial" w:eastAsia="SimSun" w:hAnsi="Arial" w:cs="Arial"/>
          <w:bCs/>
          <w:sz w:val="20"/>
          <w:szCs w:val="20"/>
          <w:lang w:eastAsia="zh-CN"/>
        </w:rPr>
        <w:t xml:space="preserve"> into force</w:t>
      </w:r>
      <w:r w:rsidR="001B676F">
        <w:rPr>
          <w:rFonts w:ascii="Arial" w:eastAsia="SimSun" w:hAnsi="Arial" w:cs="Arial"/>
          <w:bCs/>
          <w:sz w:val="20"/>
          <w:szCs w:val="20"/>
          <w:lang w:eastAsia="zh-CN"/>
        </w:rPr>
        <w:t xml:space="preserve"> on 30 June 2020, when</w:t>
      </w:r>
      <w:r w:rsidR="00D47B24" w:rsidRPr="00D47B24">
        <w:rPr>
          <w:rFonts w:ascii="Arial" w:eastAsia="SimSun" w:hAnsi="Arial" w:cs="Arial"/>
          <w:bCs/>
          <w:sz w:val="20"/>
          <w:szCs w:val="20"/>
          <w:lang w:eastAsia="zh-CN"/>
        </w:rPr>
        <w:t xml:space="preserve"> the EBA's December 2017 guidelines on security measures for operational a</w:t>
      </w:r>
      <w:r w:rsidR="001B676F">
        <w:rPr>
          <w:rFonts w:ascii="Arial" w:eastAsia="SimSun" w:hAnsi="Arial" w:cs="Arial"/>
          <w:bCs/>
          <w:sz w:val="20"/>
          <w:szCs w:val="20"/>
          <w:lang w:eastAsia="zh-CN"/>
        </w:rPr>
        <w:t>nd security risks under PSD2 will be repealed.</w:t>
      </w:r>
    </w:p>
    <w:p w:rsidR="00AE3A4B" w:rsidRDefault="00AE3A4B" w:rsidP="00731339">
      <w:pPr>
        <w:rPr>
          <w:rFonts w:ascii="Arial" w:eastAsia="SimSun" w:hAnsi="Arial" w:cs="Arial"/>
          <w:bCs/>
          <w:sz w:val="20"/>
          <w:szCs w:val="20"/>
          <w:lang w:eastAsia="zh-CN"/>
        </w:rPr>
      </w:pPr>
      <w:hyperlink r:id="rId36" w:history="1">
        <w:r w:rsidR="00D47B24">
          <w:rPr>
            <w:rStyle w:val="Hyperlink"/>
            <w:rFonts w:ascii="Arial" w:eastAsia="SimSun" w:hAnsi="Arial" w:cs="Arial"/>
            <w:bCs/>
            <w:sz w:val="20"/>
            <w:szCs w:val="20"/>
            <w:lang w:eastAsia="zh-CN"/>
          </w:rPr>
          <w:t>Read more</w:t>
        </w:r>
      </w:hyperlink>
      <w:r w:rsidR="00D47B24">
        <w:rPr>
          <w:rFonts w:ascii="Arial" w:eastAsia="SimSun" w:hAnsi="Arial" w:cs="Arial"/>
          <w:bCs/>
          <w:sz w:val="20"/>
          <w:szCs w:val="20"/>
          <w:lang w:eastAsia="zh-CN"/>
        </w:rPr>
        <w:t xml:space="preserve"> </w:t>
      </w:r>
    </w:p>
    <w:p w:rsidR="00AE3A4B" w:rsidRDefault="00AE3A4B" w:rsidP="00731339">
      <w:pPr>
        <w:rPr>
          <w:rFonts w:ascii="Arial" w:eastAsia="SimSun" w:hAnsi="Arial" w:cs="Arial"/>
          <w:bCs/>
          <w:sz w:val="20"/>
          <w:szCs w:val="20"/>
          <w:lang w:eastAsia="zh-CN"/>
        </w:rPr>
      </w:pPr>
    </w:p>
    <w:p w:rsidR="00731339" w:rsidRPr="00AE3A4B" w:rsidRDefault="00731339" w:rsidP="00731339">
      <w:pPr>
        <w:rPr>
          <w:rFonts w:ascii="Arial" w:eastAsia="SimSun" w:hAnsi="Arial" w:cs="Arial"/>
          <w:bCs/>
          <w:sz w:val="20"/>
          <w:szCs w:val="20"/>
          <w:lang w:eastAsia="zh-CN"/>
        </w:rPr>
      </w:pPr>
      <w:r>
        <w:rPr>
          <w:rFonts w:ascii="Arial" w:hAnsi="Arial" w:cs="Arial"/>
          <w:b/>
          <w:bCs/>
          <w:sz w:val="20"/>
          <w:szCs w:val="20"/>
        </w:rPr>
        <w:t>Council of the EU adopts position on new mechanism for out-of-court enforcement for NPLs</w:t>
      </w:r>
    </w:p>
    <w:p w:rsidR="00731339" w:rsidRDefault="00731339" w:rsidP="00731339">
      <w:pPr>
        <w:rPr>
          <w:rFonts w:ascii="Arial" w:hAnsi="Arial" w:cs="Arial"/>
          <w:sz w:val="20"/>
          <w:szCs w:val="20"/>
        </w:rPr>
      </w:pPr>
      <w:r>
        <w:rPr>
          <w:rFonts w:ascii="Arial" w:hAnsi="Arial" w:cs="Arial"/>
          <w:sz w:val="20"/>
          <w:szCs w:val="20"/>
        </w:rPr>
        <w:t xml:space="preserve">On 27 November, EU ambassadors approved the Council’s position on a proposal for a common framework and minimum requirements for out-of-court mechanism to recover the value from loans guaranteed with collateral in the case where a borrower is not able to pay it back. This will help prevent the accumulation of NPLs, as it provides banks with legal instruments to recover collateral quicker. The mechanism would have to be agreed between a credit institution and a borrower when the loan is granted. </w:t>
      </w:r>
      <w:proofErr w:type="spellStart"/>
      <w:r w:rsidRPr="00731339">
        <w:rPr>
          <w:rFonts w:ascii="Arial" w:hAnsi="Arial" w:cs="Arial"/>
          <w:sz w:val="20"/>
          <w:szCs w:val="20"/>
        </w:rPr>
        <w:t>Trilogue</w:t>
      </w:r>
      <w:proofErr w:type="spellEnd"/>
      <w:r w:rsidRPr="00731339">
        <w:rPr>
          <w:rFonts w:ascii="Arial" w:hAnsi="Arial" w:cs="Arial"/>
          <w:sz w:val="20"/>
          <w:szCs w:val="20"/>
        </w:rPr>
        <w:t xml:space="preserve"> n</w:t>
      </w:r>
      <w:r>
        <w:rPr>
          <w:rFonts w:ascii="Arial" w:hAnsi="Arial" w:cs="Arial"/>
          <w:sz w:val="20"/>
          <w:szCs w:val="20"/>
        </w:rPr>
        <w:t xml:space="preserve">egotiations can begin once the EP has agreed its position. </w:t>
      </w:r>
    </w:p>
    <w:p w:rsidR="00731339" w:rsidRDefault="00AE3A4B" w:rsidP="00731339">
      <w:pPr>
        <w:rPr>
          <w:rFonts w:ascii="Arial" w:hAnsi="Arial" w:cs="Arial"/>
          <w:sz w:val="20"/>
          <w:szCs w:val="20"/>
        </w:rPr>
      </w:pPr>
      <w:hyperlink r:id="rId37" w:history="1">
        <w:r w:rsidR="00731339">
          <w:rPr>
            <w:rStyle w:val="Hyperlink"/>
            <w:rFonts w:ascii="Arial" w:hAnsi="Arial" w:cs="Arial"/>
            <w:sz w:val="20"/>
            <w:szCs w:val="20"/>
          </w:rPr>
          <w:t>Read more</w:t>
        </w:r>
      </w:hyperlink>
      <w:r w:rsidR="00731339">
        <w:rPr>
          <w:rFonts w:ascii="Arial" w:hAnsi="Arial" w:cs="Arial"/>
          <w:sz w:val="20"/>
          <w:szCs w:val="20"/>
        </w:rPr>
        <w:t xml:space="preserve"> </w:t>
      </w:r>
    </w:p>
    <w:p w:rsidR="00D47B24" w:rsidRDefault="00D47B24" w:rsidP="00632997">
      <w:pPr>
        <w:rPr>
          <w:rFonts w:ascii="Arial" w:eastAsia="SimSun" w:hAnsi="Arial" w:cs="Arial"/>
          <w:b/>
          <w:bCs/>
          <w:sz w:val="20"/>
          <w:szCs w:val="20"/>
          <w:lang w:eastAsia="zh-CN"/>
        </w:rPr>
      </w:pPr>
    </w:p>
    <w:p w:rsidR="00632997" w:rsidRPr="00632997" w:rsidRDefault="00632997" w:rsidP="00632997">
      <w:pPr>
        <w:rPr>
          <w:rFonts w:ascii="Arial" w:eastAsia="SimSun" w:hAnsi="Arial" w:cs="Arial"/>
          <w:b/>
          <w:bCs/>
          <w:sz w:val="20"/>
          <w:szCs w:val="20"/>
          <w:lang w:eastAsia="zh-CN"/>
        </w:rPr>
      </w:pPr>
      <w:r w:rsidRPr="00632997">
        <w:rPr>
          <w:rFonts w:ascii="Arial" w:eastAsia="SimSun" w:hAnsi="Arial" w:cs="Arial"/>
          <w:b/>
          <w:bCs/>
          <w:sz w:val="20"/>
          <w:szCs w:val="20"/>
          <w:lang w:eastAsia="zh-CN"/>
        </w:rPr>
        <w:t>Whistleblowing</w:t>
      </w:r>
      <w:r>
        <w:rPr>
          <w:rFonts w:ascii="Arial" w:eastAsia="SimSun" w:hAnsi="Arial" w:cs="Arial"/>
          <w:b/>
          <w:bCs/>
          <w:sz w:val="20"/>
          <w:szCs w:val="20"/>
          <w:lang w:eastAsia="zh-CN"/>
        </w:rPr>
        <w:t xml:space="preserve"> </w:t>
      </w:r>
      <w:r w:rsidRPr="00632997">
        <w:rPr>
          <w:rFonts w:ascii="Arial" w:eastAsia="SimSun" w:hAnsi="Arial" w:cs="Arial"/>
          <w:b/>
          <w:bCs/>
          <w:sz w:val="20"/>
          <w:szCs w:val="20"/>
          <w:lang w:eastAsia="zh-CN"/>
        </w:rPr>
        <w:t>Directive published in Official Journal</w:t>
      </w:r>
    </w:p>
    <w:p w:rsidR="00632997" w:rsidRDefault="00632997" w:rsidP="00632997">
      <w:pPr>
        <w:rPr>
          <w:rFonts w:ascii="Arial" w:eastAsia="SimSun" w:hAnsi="Arial" w:cs="Arial"/>
          <w:bCs/>
          <w:sz w:val="20"/>
          <w:szCs w:val="20"/>
          <w:lang w:eastAsia="zh-CN"/>
        </w:rPr>
      </w:pPr>
      <w:r w:rsidRPr="00632997">
        <w:rPr>
          <w:rFonts w:ascii="Arial" w:eastAsia="SimSun" w:hAnsi="Arial" w:cs="Arial"/>
          <w:bCs/>
          <w:sz w:val="20"/>
          <w:szCs w:val="20"/>
          <w:lang w:eastAsia="zh-CN"/>
        </w:rPr>
        <w:t xml:space="preserve">On 26 November, Directive (EU) 2019/1937 of the European Parliament (EP) and of the Council of 23 October 2019 on the protection of persons who report breaches of Union law was published in the </w:t>
      </w:r>
      <w:r>
        <w:rPr>
          <w:rFonts w:ascii="Arial" w:eastAsia="SimSun" w:hAnsi="Arial" w:cs="Arial"/>
          <w:bCs/>
          <w:sz w:val="20"/>
          <w:szCs w:val="20"/>
          <w:lang w:eastAsia="zh-CN"/>
        </w:rPr>
        <w:t>OJ</w:t>
      </w:r>
      <w:r w:rsidRPr="00632997">
        <w:rPr>
          <w:rFonts w:ascii="Arial" w:eastAsia="SimSun" w:hAnsi="Arial" w:cs="Arial"/>
          <w:bCs/>
          <w:sz w:val="20"/>
          <w:szCs w:val="20"/>
          <w:lang w:eastAsia="zh-CN"/>
        </w:rPr>
        <w:t>.</w:t>
      </w:r>
      <w:r>
        <w:rPr>
          <w:rFonts w:ascii="Arial" w:eastAsia="SimSun" w:hAnsi="Arial" w:cs="Arial"/>
          <w:bCs/>
          <w:sz w:val="20"/>
          <w:szCs w:val="20"/>
          <w:lang w:eastAsia="zh-CN"/>
        </w:rPr>
        <w:t xml:space="preserve"> </w:t>
      </w:r>
      <w:r w:rsidRPr="00632997">
        <w:rPr>
          <w:rFonts w:ascii="Arial" w:eastAsia="SimSun" w:hAnsi="Arial" w:cs="Arial"/>
          <w:bCs/>
          <w:sz w:val="20"/>
          <w:szCs w:val="20"/>
          <w:lang w:eastAsia="zh-CN"/>
        </w:rPr>
        <w:t xml:space="preserve">The Directive will enter into force twenty days </w:t>
      </w:r>
      <w:r>
        <w:rPr>
          <w:rFonts w:ascii="Arial" w:eastAsia="SimSun" w:hAnsi="Arial" w:cs="Arial"/>
          <w:bCs/>
          <w:sz w:val="20"/>
          <w:szCs w:val="20"/>
          <w:lang w:eastAsia="zh-CN"/>
        </w:rPr>
        <w:t>following</w:t>
      </w:r>
      <w:r w:rsidRPr="00632997">
        <w:rPr>
          <w:rFonts w:ascii="Arial" w:eastAsia="SimSun" w:hAnsi="Arial" w:cs="Arial"/>
          <w:bCs/>
          <w:sz w:val="20"/>
          <w:szCs w:val="20"/>
          <w:lang w:eastAsia="zh-CN"/>
        </w:rPr>
        <w:t xml:space="preserve"> publication</w:t>
      </w:r>
      <w:r>
        <w:rPr>
          <w:rFonts w:ascii="Arial" w:eastAsia="SimSun" w:hAnsi="Arial" w:cs="Arial"/>
          <w:bCs/>
          <w:sz w:val="20"/>
          <w:szCs w:val="20"/>
          <w:lang w:eastAsia="zh-CN"/>
        </w:rPr>
        <w:t xml:space="preserve"> and </w:t>
      </w:r>
      <w:r w:rsidRPr="00632997">
        <w:rPr>
          <w:rFonts w:ascii="Arial" w:eastAsia="SimSun" w:hAnsi="Arial" w:cs="Arial"/>
          <w:bCs/>
          <w:sz w:val="20"/>
          <w:szCs w:val="20"/>
          <w:lang w:eastAsia="zh-CN"/>
        </w:rPr>
        <w:t xml:space="preserve">Member </w:t>
      </w:r>
      <w:r>
        <w:rPr>
          <w:rFonts w:ascii="Arial" w:eastAsia="SimSun" w:hAnsi="Arial" w:cs="Arial"/>
          <w:bCs/>
          <w:sz w:val="20"/>
          <w:szCs w:val="20"/>
          <w:lang w:eastAsia="zh-CN"/>
        </w:rPr>
        <w:t>S</w:t>
      </w:r>
      <w:r w:rsidRPr="00632997">
        <w:rPr>
          <w:rFonts w:ascii="Arial" w:eastAsia="SimSun" w:hAnsi="Arial" w:cs="Arial"/>
          <w:bCs/>
          <w:sz w:val="20"/>
          <w:szCs w:val="20"/>
          <w:lang w:eastAsia="zh-CN"/>
        </w:rPr>
        <w:t>tates will have to bring into force the laws, regulations and administrative provisions necessary to comply with this Directive by 17 December 2021</w:t>
      </w:r>
      <w:r>
        <w:rPr>
          <w:rFonts w:ascii="Arial" w:eastAsia="SimSun" w:hAnsi="Arial" w:cs="Arial"/>
          <w:bCs/>
          <w:sz w:val="20"/>
          <w:szCs w:val="20"/>
          <w:lang w:eastAsia="zh-CN"/>
        </w:rPr>
        <w:t xml:space="preserve"> (for the majority of the requirements)</w:t>
      </w:r>
      <w:r w:rsidRPr="00632997">
        <w:rPr>
          <w:rFonts w:ascii="Arial" w:eastAsia="SimSun" w:hAnsi="Arial" w:cs="Arial"/>
          <w:bCs/>
          <w:sz w:val="20"/>
          <w:szCs w:val="20"/>
          <w:lang w:eastAsia="zh-CN"/>
        </w:rPr>
        <w:t xml:space="preserve">. </w:t>
      </w:r>
    </w:p>
    <w:p w:rsidR="00632997" w:rsidRDefault="00AE3A4B" w:rsidP="00632997">
      <w:pPr>
        <w:rPr>
          <w:rStyle w:val="Hyperlink"/>
          <w:rFonts w:ascii="Arial" w:eastAsia="SimSun" w:hAnsi="Arial" w:cs="Arial"/>
          <w:bCs/>
          <w:sz w:val="20"/>
          <w:szCs w:val="20"/>
          <w:lang w:eastAsia="zh-CN"/>
        </w:rPr>
      </w:pPr>
      <w:hyperlink r:id="rId38" w:anchor="page=19" w:history="1">
        <w:r w:rsidR="00632997" w:rsidRPr="00632997">
          <w:rPr>
            <w:rStyle w:val="Hyperlink"/>
            <w:rFonts w:ascii="Arial" w:eastAsia="SimSun" w:hAnsi="Arial" w:cs="Arial"/>
            <w:bCs/>
            <w:sz w:val="20"/>
            <w:szCs w:val="20"/>
            <w:lang w:eastAsia="zh-CN"/>
          </w:rPr>
          <w:t>Read more</w:t>
        </w:r>
      </w:hyperlink>
    </w:p>
    <w:p w:rsidR="00AC6A32" w:rsidRDefault="00AC6A32" w:rsidP="00632997">
      <w:pPr>
        <w:rPr>
          <w:rStyle w:val="Hyperlink"/>
          <w:rFonts w:ascii="Arial" w:eastAsia="SimSun" w:hAnsi="Arial" w:cs="Arial"/>
          <w:bCs/>
          <w:sz w:val="20"/>
          <w:szCs w:val="20"/>
          <w:lang w:eastAsia="zh-CN"/>
        </w:rPr>
      </w:pPr>
    </w:p>
    <w:p w:rsidR="00AC6A32" w:rsidRPr="00DA297D" w:rsidRDefault="00AC6A32" w:rsidP="00AC6A32">
      <w:pPr>
        <w:rPr>
          <w:rFonts w:ascii="Arial" w:eastAsia="SimSun" w:hAnsi="Arial" w:cs="Arial"/>
          <w:b/>
          <w:bCs/>
          <w:sz w:val="20"/>
          <w:lang w:eastAsia="zh-CN"/>
        </w:rPr>
      </w:pPr>
      <w:r w:rsidRPr="00DA297D">
        <w:rPr>
          <w:rFonts w:ascii="Arial" w:eastAsia="SimSun" w:hAnsi="Arial" w:cs="Arial"/>
          <w:b/>
          <w:bCs/>
          <w:sz w:val="20"/>
          <w:lang w:eastAsia="zh-CN"/>
        </w:rPr>
        <w:t>Council of EU progress report</w:t>
      </w:r>
      <w:r>
        <w:rPr>
          <w:rFonts w:ascii="Arial" w:eastAsia="SimSun" w:hAnsi="Arial" w:cs="Arial"/>
          <w:b/>
          <w:bCs/>
          <w:sz w:val="20"/>
          <w:lang w:eastAsia="zh-CN"/>
        </w:rPr>
        <w:t xml:space="preserve"> on banking union</w:t>
      </w:r>
    </w:p>
    <w:p w:rsidR="00AC6A32" w:rsidRPr="009967F3" w:rsidRDefault="00AC6A32" w:rsidP="00AC6A32">
      <w:pPr>
        <w:rPr>
          <w:rFonts w:ascii="Arial" w:eastAsia="SimSun" w:hAnsi="Arial" w:cs="Arial"/>
          <w:bCs/>
          <w:sz w:val="20"/>
          <w:lang w:eastAsia="zh-CN"/>
        </w:rPr>
      </w:pPr>
      <w:r w:rsidRPr="00DA297D">
        <w:rPr>
          <w:rFonts w:ascii="Arial" w:eastAsia="SimSun" w:hAnsi="Arial" w:cs="Arial"/>
          <w:bCs/>
          <w:sz w:val="20"/>
          <w:lang w:eastAsia="zh-CN"/>
        </w:rPr>
        <w:t xml:space="preserve">On 25 November, the Council of the EU published a </w:t>
      </w:r>
      <w:r w:rsidRPr="0027639B">
        <w:rPr>
          <w:rFonts w:ascii="Arial" w:eastAsia="SimSun" w:hAnsi="Arial" w:cs="Arial"/>
          <w:bCs/>
          <w:iCs/>
          <w:sz w:val="20"/>
          <w:lang w:eastAsia="zh-CN"/>
        </w:rPr>
        <w:t>progress report</w:t>
      </w:r>
      <w:r w:rsidRPr="0027639B">
        <w:rPr>
          <w:rFonts w:ascii="Arial" w:eastAsia="SimSun" w:hAnsi="Arial" w:cs="Arial"/>
          <w:bCs/>
          <w:sz w:val="20"/>
          <w:lang w:eastAsia="zh-CN"/>
        </w:rPr>
        <w:t xml:space="preserve"> </w:t>
      </w:r>
      <w:r>
        <w:rPr>
          <w:rFonts w:ascii="Arial" w:eastAsia="SimSun" w:hAnsi="Arial" w:cs="Arial"/>
          <w:bCs/>
          <w:sz w:val="20"/>
          <w:lang w:eastAsia="zh-CN"/>
        </w:rPr>
        <w:t>on</w:t>
      </w:r>
      <w:r w:rsidRPr="00DA297D">
        <w:rPr>
          <w:rFonts w:ascii="Arial" w:eastAsia="SimSun" w:hAnsi="Arial" w:cs="Arial"/>
          <w:bCs/>
          <w:sz w:val="20"/>
          <w:lang w:eastAsia="zh-CN"/>
        </w:rPr>
        <w:t xml:space="preserve"> strengthen</w:t>
      </w:r>
      <w:r>
        <w:rPr>
          <w:rFonts w:ascii="Arial" w:eastAsia="SimSun" w:hAnsi="Arial" w:cs="Arial"/>
          <w:bCs/>
          <w:sz w:val="20"/>
          <w:lang w:eastAsia="zh-CN"/>
        </w:rPr>
        <w:t>ing the banking union</w:t>
      </w:r>
      <w:r w:rsidRPr="00DA297D">
        <w:rPr>
          <w:rFonts w:ascii="Arial" w:eastAsia="SimSun" w:hAnsi="Arial" w:cs="Arial"/>
          <w:bCs/>
          <w:sz w:val="20"/>
          <w:lang w:eastAsia="zh-CN"/>
        </w:rPr>
        <w:t>.</w:t>
      </w:r>
      <w:r>
        <w:rPr>
          <w:rFonts w:ascii="Arial" w:eastAsia="SimSun" w:hAnsi="Arial" w:cs="Arial"/>
          <w:bCs/>
          <w:sz w:val="20"/>
          <w:lang w:eastAsia="zh-CN"/>
        </w:rPr>
        <w:t xml:space="preserve"> The report sets out details on progress of</w:t>
      </w:r>
      <w:r w:rsidRPr="00DA297D">
        <w:rPr>
          <w:rFonts w:ascii="Arial" w:eastAsia="SimSun" w:hAnsi="Arial" w:cs="Arial"/>
          <w:bCs/>
          <w:sz w:val="20"/>
          <w:lang w:eastAsia="zh-CN"/>
        </w:rPr>
        <w:t xml:space="preserve"> ongoing legislative proposals relating to the June 2016</w:t>
      </w:r>
      <w:r>
        <w:rPr>
          <w:rFonts w:ascii="Arial" w:eastAsia="SimSun" w:hAnsi="Arial" w:cs="Arial"/>
          <w:bCs/>
          <w:sz w:val="20"/>
          <w:lang w:eastAsia="zh-CN"/>
        </w:rPr>
        <w:t xml:space="preserve"> roadmap</w:t>
      </w:r>
      <w:r w:rsidRPr="00DA297D">
        <w:rPr>
          <w:rFonts w:ascii="Arial" w:eastAsia="SimSun" w:hAnsi="Arial" w:cs="Arial"/>
          <w:bCs/>
          <w:sz w:val="20"/>
          <w:lang w:eastAsia="zh-CN"/>
        </w:rPr>
        <w:t xml:space="preserve"> conclusions</w:t>
      </w:r>
      <w:r>
        <w:rPr>
          <w:rFonts w:ascii="Arial" w:eastAsia="SimSun" w:hAnsi="Arial" w:cs="Arial"/>
          <w:bCs/>
          <w:sz w:val="20"/>
          <w:lang w:eastAsia="zh-CN"/>
        </w:rPr>
        <w:t>, which includes</w:t>
      </w:r>
      <w:r w:rsidRPr="00DA297D">
        <w:rPr>
          <w:rFonts w:ascii="Arial" w:eastAsia="SimSun" w:hAnsi="Arial" w:cs="Arial"/>
          <w:bCs/>
          <w:sz w:val="20"/>
          <w:lang w:eastAsia="zh-CN"/>
        </w:rPr>
        <w:t>:</w:t>
      </w:r>
      <w:r>
        <w:rPr>
          <w:rFonts w:ascii="Arial" w:eastAsia="SimSun" w:hAnsi="Arial" w:cs="Arial"/>
          <w:bCs/>
          <w:sz w:val="20"/>
          <w:lang w:eastAsia="zh-CN"/>
        </w:rPr>
        <w:t xml:space="preserve"> (i) the </w:t>
      </w:r>
      <w:r w:rsidRPr="00DA297D">
        <w:rPr>
          <w:rFonts w:ascii="Arial" w:eastAsia="SimSun" w:hAnsi="Arial" w:cs="Arial"/>
          <w:bCs/>
          <w:sz w:val="20"/>
          <w:lang w:eastAsia="zh-CN"/>
        </w:rPr>
        <w:t>European de</w:t>
      </w:r>
      <w:r>
        <w:rPr>
          <w:rFonts w:ascii="Arial" w:eastAsia="SimSun" w:hAnsi="Arial" w:cs="Arial"/>
          <w:bCs/>
          <w:sz w:val="20"/>
          <w:lang w:eastAsia="zh-CN"/>
        </w:rPr>
        <w:t>posit insurance scheme (EDIS) - t</w:t>
      </w:r>
      <w:r w:rsidRPr="00DA297D">
        <w:rPr>
          <w:rFonts w:ascii="Arial" w:eastAsia="SimSun" w:hAnsi="Arial" w:cs="Arial"/>
          <w:bCs/>
          <w:sz w:val="20"/>
          <w:lang w:eastAsia="zh-CN"/>
        </w:rPr>
        <w:t xml:space="preserve">he report summarises progress on technical issues relating to the legislative proposal for the </w:t>
      </w:r>
      <w:r>
        <w:rPr>
          <w:rFonts w:ascii="Arial" w:eastAsia="SimSun" w:hAnsi="Arial" w:cs="Arial"/>
          <w:bCs/>
          <w:sz w:val="20"/>
          <w:lang w:eastAsia="zh-CN"/>
        </w:rPr>
        <w:t>EDIS Regulation</w:t>
      </w:r>
      <w:r w:rsidRPr="00DA297D">
        <w:rPr>
          <w:rFonts w:ascii="Arial" w:eastAsia="SimSun" w:hAnsi="Arial" w:cs="Arial"/>
          <w:bCs/>
          <w:sz w:val="20"/>
          <w:lang w:eastAsia="zh-CN"/>
        </w:rPr>
        <w:t>, including a draft updated template for data collection to support the methodology for calculating risk-</w:t>
      </w:r>
      <w:r>
        <w:rPr>
          <w:rFonts w:ascii="Arial" w:eastAsia="SimSun" w:hAnsi="Arial" w:cs="Arial"/>
          <w:bCs/>
          <w:sz w:val="20"/>
          <w:lang w:eastAsia="zh-CN"/>
        </w:rPr>
        <w:t xml:space="preserve">based contributions under EDIS; and (ii) the </w:t>
      </w:r>
      <w:r w:rsidRPr="0027639B">
        <w:rPr>
          <w:rFonts w:ascii="Arial" w:eastAsia="SimSun" w:hAnsi="Arial" w:cs="Arial"/>
          <w:bCs/>
          <w:sz w:val="20"/>
          <w:lang w:eastAsia="zh-CN"/>
        </w:rPr>
        <w:t>Directive on credit servicers and credit purchasers - the report considers progress on the legislative proposal for the proposed Directive on credit servicers and credit purchasers</w:t>
      </w:r>
      <w:r>
        <w:rPr>
          <w:rFonts w:ascii="Arial" w:eastAsia="SimSun" w:hAnsi="Arial" w:cs="Arial"/>
          <w:bCs/>
          <w:sz w:val="20"/>
          <w:lang w:eastAsia="zh-CN"/>
        </w:rPr>
        <w:t>, and states that</w:t>
      </w:r>
      <w:r w:rsidRPr="0027639B">
        <w:rPr>
          <w:rFonts w:ascii="Arial" w:eastAsia="SimSun" w:hAnsi="Arial" w:cs="Arial"/>
          <w:bCs/>
          <w:sz w:val="20"/>
          <w:lang w:eastAsia="zh-CN"/>
        </w:rPr>
        <w:t xml:space="preserve"> in October, the </w:t>
      </w:r>
      <w:r>
        <w:rPr>
          <w:rFonts w:ascii="Arial" w:eastAsia="SimSun" w:hAnsi="Arial" w:cs="Arial"/>
          <w:bCs/>
          <w:sz w:val="20"/>
          <w:lang w:eastAsia="zh-CN"/>
        </w:rPr>
        <w:t>EP</w:t>
      </w:r>
      <w:r w:rsidRPr="0027639B">
        <w:rPr>
          <w:rFonts w:ascii="Arial" w:eastAsia="SimSun" w:hAnsi="Arial" w:cs="Arial"/>
          <w:bCs/>
          <w:sz w:val="20"/>
          <w:lang w:eastAsia="zh-CN"/>
        </w:rPr>
        <w:t xml:space="preserve"> agreed that the provisions in the legislative proposal for accelerated extrajudici</w:t>
      </w:r>
      <w:r>
        <w:rPr>
          <w:rFonts w:ascii="Arial" w:eastAsia="SimSun" w:hAnsi="Arial" w:cs="Arial"/>
          <w:bCs/>
          <w:sz w:val="20"/>
          <w:lang w:eastAsia="zh-CN"/>
        </w:rPr>
        <w:t>al collateral enforcement</w:t>
      </w:r>
      <w:r w:rsidRPr="0027639B">
        <w:rPr>
          <w:rFonts w:ascii="Arial" w:eastAsia="SimSun" w:hAnsi="Arial" w:cs="Arial"/>
          <w:bCs/>
          <w:sz w:val="20"/>
          <w:lang w:eastAsia="zh-CN"/>
        </w:rPr>
        <w:t xml:space="preserve"> should be split off from the Directive. </w:t>
      </w:r>
    </w:p>
    <w:p w:rsidR="00AC6A32" w:rsidRPr="00AC6A32" w:rsidRDefault="00AE3A4B" w:rsidP="00632997">
      <w:pPr>
        <w:rPr>
          <w:rFonts w:ascii="Arial" w:eastAsia="SimSun" w:hAnsi="Arial" w:cs="Arial"/>
          <w:bCs/>
          <w:color w:val="800000"/>
          <w:sz w:val="20"/>
          <w:lang w:eastAsia="zh-CN"/>
        </w:rPr>
      </w:pPr>
      <w:hyperlink r:id="rId39" w:history="1">
        <w:r w:rsidR="00AC6A32" w:rsidRPr="0027639B">
          <w:rPr>
            <w:rStyle w:val="Hyperlink"/>
            <w:rFonts w:ascii="Arial" w:eastAsia="SimSun" w:hAnsi="Arial" w:cs="Arial"/>
            <w:bCs/>
            <w:sz w:val="20"/>
            <w:lang w:eastAsia="zh-CN"/>
          </w:rPr>
          <w:t>Read more</w:t>
        </w:r>
      </w:hyperlink>
      <w:r w:rsidR="00AC6A32" w:rsidRPr="0027639B">
        <w:rPr>
          <w:rFonts w:ascii="Arial" w:eastAsia="SimSun" w:hAnsi="Arial" w:cs="Arial"/>
          <w:bCs/>
          <w:color w:val="800000"/>
          <w:sz w:val="20"/>
          <w:lang w:eastAsia="zh-CN"/>
        </w:rPr>
        <w:t xml:space="preserve"> </w:t>
      </w:r>
    </w:p>
    <w:p w:rsidR="00632997" w:rsidRDefault="00632997" w:rsidP="00982A08">
      <w:pPr>
        <w:rPr>
          <w:rFonts w:ascii="Arial" w:eastAsia="SimSun" w:hAnsi="Arial" w:cs="Arial"/>
          <w:b/>
          <w:bCs/>
          <w:sz w:val="20"/>
          <w:szCs w:val="20"/>
          <w:lang w:eastAsia="zh-CN"/>
        </w:rPr>
      </w:pPr>
    </w:p>
    <w:p w:rsidR="00167C44" w:rsidRDefault="00982A08" w:rsidP="00982A08">
      <w:pPr>
        <w:rPr>
          <w:rFonts w:ascii="Arial" w:eastAsia="SimSun" w:hAnsi="Arial" w:cs="Arial"/>
          <w:b/>
          <w:bCs/>
          <w:sz w:val="20"/>
          <w:szCs w:val="20"/>
          <w:lang w:eastAsia="zh-CN"/>
        </w:rPr>
      </w:pPr>
      <w:r w:rsidRPr="00982A08">
        <w:rPr>
          <w:rFonts w:ascii="Arial" w:eastAsia="SimSun" w:hAnsi="Arial" w:cs="Arial"/>
          <w:b/>
          <w:bCs/>
          <w:sz w:val="20"/>
          <w:szCs w:val="20"/>
          <w:lang w:eastAsia="zh-CN"/>
        </w:rPr>
        <w:t>FCA policy statement on</w:t>
      </w:r>
      <w:r w:rsidR="00167C44">
        <w:rPr>
          <w:rFonts w:ascii="Arial" w:eastAsia="SimSun" w:hAnsi="Arial" w:cs="Arial"/>
          <w:b/>
          <w:bCs/>
          <w:sz w:val="20"/>
          <w:szCs w:val="20"/>
          <w:lang w:eastAsia="zh-CN"/>
        </w:rPr>
        <w:t xml:space="preserve"> </w:t>
      </w:r>
      <w:r w:rsidR="00E75516">
        <w:rPr>
          <w:rFonts w:ascii="Arial" w:eastAsia="SimSun" w:hAnsi="Arial" w:cs="Arial"/>
          <w:b/>
          <w:bCs/>
          <w:sz w:val="20"/>
          <w:szCs w:val="20"/>
          <w:lang w:eastAsia="zh-CN"/>
        </w:rPr>
        <w:t>Proxy Advisors (Shareholders’ Rights) Regulations Implementation</w:t>
      </w:r>
      <w:r w:rsidRPr="00982A08">
        <w:rPr>
          <w:rFonts w:ascii="Arial" w:eastAsia="SimSun" w:hAnsi="Arial" w:cs="Arial"/>
          <w:b/>
          <w:bCs/>
          <w:sz w:val="20"/>
          <w:szCs w:val="20"/>
          <w:lang w:eastAsia="zh-CN"/>
        </w:rPr>
        <w:t xml:space="preserve"> </w:t>
      </w:r>
    </w:p>
    <w:p w:rsidR="00982A08" w:rsidRPr="00982A08" w:rsidRDefault="00982A08" w:rsidP="00982A08">
      <w:pPr>
        <w:rPr>
          <w:rFonts w:ascii="Arial" w:eastAsia="SimSun" w:hAnsi="Arial" w:cs="Arial"/>
          <w:bCs/>
          <w:sz w:val="20"/>
          <w:szCs w:val="20"/>
          <w:lang w:eastAsia="zh-CN"/>
        </w:rPr>
      </w:pPr>
      <w:r w:rsidRPr="00982A08">
        <w:rPr>
          <w:rFonts w:ascii="Arial" w:eastAsia="SimSun" w:hAnsi="Arial" w:cs="Arial"/>
          <w:bCs/>
          <w:sz w:val="20"/>
          <w:szCs w:val="20"/>
          <w:lang w:eastAsia="zh-CN"/>
        </w:rPr>
        <w:t xml:space="preserve">On 25 November, the FCA published </w:t>
      </w:r>
      <w:r w:rsidRPr="00E75516">
        <w:rPr>
          <w:rFonts w:ascii="Arial" w:eastAsia="SimSun" w:hAnsi="Arial" w:cs="Arial"/>
          <w:bCs/>
          <w:sz w:val="20"/>
          <w:szCs w:val="20"/>
          <w:lang w:eastAsia="zh-CN"/>
        </w:rPr>
        <w:t xml:space="preserve">a </w:t>
      </w:r>
      <w:r w:rsidRPr="00E75516">
        <w:rPr>
          <w:rFonts w:ascii="Arial" w:eastAsia="SimSun" w:hAnsi="Arial" w:cs="Arial"/>
          <w:bCs/>
          <w:iCs/>
          <w:sz w:val="20"/>
          <w:szCs w:val="20"/>
          <w:lang w:eastAsia="zh-CN"/>
        </w:rPr>
        <w:t>policy statemen</w:t>
      </w:r>
      <w:r w:rsidR="00E75516" w:rsidRPr="00E75516">
        <w:rPr>
          <w:rFonts w:ascii="Arial" w:eastAsia="SimSun" w:hAnsi="Arial" w:cs="Arial"/>
          <w:bCs/>
          <w:sz w:val="20"/>
          <w:szCs w:val="20"/>
          <w:lang w:eastAsia="zh-CN"/>
        </w:rPr>
        <w:t>t</w:t>
      </w:r>
      <w:r w:rsidRPr="00982A08">
        <w:rPr>
          <w:rFonts w:ascii="Arial" w:eastAsia="SimSun" w:hAnsi="Arial" w:cs="Arial"/>
          <w:bCs/>
          <w:sz w:val="20"/>
          <w:szCs w:val="20"/>
          <w:lang w:eastAsia="zh-CN"/>
        </w:rPr>
        <w:t xml:space="preserve"> (PS19/28) on changes to its Decision Making and Penalties Manual (DEPP) and Enforcement Guide (EG) to reflect</w:t>
      </w:r>
      <w:r w:rsidR="00E75516">
        <w:rPr>
          <w:rFonts w:ascii="Arial" w:eastAsia="SimSun" w:hAnsi="Arial" w:cs="Arial"/>
          <w:bCs/>
          <w:sz w:val="20"/>
          <w:szCs w:val="20"/>
          <w:lang w:eastAsia="zh-CN"/>
        </w:rPr>
        <w:t xml:space="preserve"> the</w:t>
      </w:r>
      <w:r w:rsidRPr="00982A08">
        <w:rPr>
          <w:rFonts w:ascii="Arial" w:eastAsia="SimSun" w:hAnsi="Arial" w:cs="Arial"/>
          <w:bCs/>
          <w:sz w:val="20"/>
          <w:szCs w:val="20"/>
          <w:lang w:eastAsia="zh-CN"/>
        </w:rPr>
        <w:t xml:space="preserve"> implementation of the Proxy Advisors (Sha</w:t>
      </w:r>
      <w:r w:rsidR="00E75516">
        <w:rPr>
          <w:rFonts w:ascii="Arial" w:eastAsia="SimSun" w:hAnsi="Arial" w:cs="Arial"/>
          <w:bCs/>
          <w:sz w:val="20"/>
          <w:szCs w:val="20"/>
          <w:lang w:eastAsia="zh-CN"/>
        </w:rPr>
        <w:t xml:space="preserve">reholders' Rights) Regulations </w:t>
      </w:r>
      <w:r w:rsidRPr="00982A08">
        <w:rPr>
          <w:rFonts w:ascii="Arial" w:eastAsia="SimSun" w:hAnsi="Arial" w:cs="Arial"/>
          <w:bCs/>
          <w:sz w:val="20"/>
          <w:szCs w:val="20"/>
          <w:lang w:eastAsia="zh-CN"/>
        </w:rPr>
        <w:t>(PA Regulations).</w:t>
      </w:r>
      <w:r w:rsidR="00446D04">
        <w:rPr>
          <w:rFonts w:ascii="Arial" w:eastAsia="SimSun" w:hAnsi="Arial" w:cs="Arial"/>
          <w:bCs/>
          <w:sz w:val="20"/>
          <w:szCs w:val="20"/>
          <w:lang w:eastAsia="zh-CN"/>
        </w:rPr>
        <w:t xml:space="preserve"> </w:t>
      </w:r>
      <w:r w:rsidRPr="00982A08">
        <w:rPr>
          <w:rFonts w:ascii="Arial" w:eastAsia="SimSun" w:hAnsi="Arial" w:cs="Arial"/>
          <w:bCs/>
          <w:sz w:val="20"/>
          <w:szCs w:val="20"/>
          <w:lang w:eastAsia="zh-CN"/>
        </w:rPr>
        <w:t xml:space="preserve">The FCA has made </w:t>
      </w:r>
      <w:r w:rsidR="005528D9">
        <w:rPr>
          <w:rFonts w:ascii="Arial" w:eastAsia="SimSun" w:hAnsi="Arial" w:cs="Arial"/>
          <w:bCs/>
          <w:sz w:val="20"/>
          <w:szCs w:val="20"/>
          <w:lang w:eastAsia="zh-CN"/>
        </w:rPr>
        <w:t xml:space="preserve">the following </w:t>
      </w:r>
      <w:r w:rsidRPr="00982A08">
        <w:rPr>
          <w:rFonts w:ascii="Arial" w:eastAsia="SimSun" w:hAnsi="Arial" w:cs="Arial"/>
          <w:bCs/>
          <w:sz w:val="20"/>
          <w:szCs w:val="20"/>
          <w:lang w:eastAsia="zh-CN"/>
        </w:rPr>
        <w:t>amendments to DEPP 2 Annex 1 to set out decision-making procedures for:</w:t>
      </w:r>
      <w:r w:rsidR="00446D04">
        <w:rPr>
          <w:rFonts w:ascii="Arial" w:eastAsia="SimSun" w:hAnsi="Arial" w:cs="Arial"/>
          <w:bCs/>
          <w:sz w:val="20"/>
          <w:szCs w:val="20"/>
          <w:lang w:eastAsia="zh-CN"/>
        </w:rPr>
        <w:t xml:space="preserve"> </w:t>
      </w:r>
      <w:r w:rsidR="005528D9">
        <w:rPr>
          <w:rFonts w:ascii="Arial" w:eastAsia="SimSun" w:hAnsi="Arial" w:cs="Arial"/>
          <w:bCs/>
          <w:sz w:val="20"/>
          <w:szCs w:val="20"/>
          <w:lang w:eastAsia="zh-CN"/>
        </w:rPr>
        <w:t>(i) d</w:t>
      </w:r>
      <w:r w:rsidRPr="00982A08">
        <w:rPr>
          <w:rFonts w:ascii="Arial" w:eastAsia="SimSun" w:hAnsi="Arial" w:cs="Arial"/>
          <w:bCs/>
          <w:sz w:val="20"/>
          <w:szCs w:val="20"/>
          <w:lang w:eastAsia="zh-CN"/>
        </w:rPr>
        <w:t xml:space="preserve">eciding when to publish a statement about a proxy adviser who has </w:t>
      </w:r>
      <w:r w:rsidR="005528D9">
        <w:rPr>
          <w:rFonts w:ascii="Arial" w:eastAsia="SimSun" w:hAnsi="Arial" w:cs="Arial"/>
          <w:bCs/>
          <w:sz w:val="20"/>
          <w:szCs w:val="20"/>
          <w:lang w:eastAsia="zh-CN"/>
        </w:rPr>
        <w:t>breached a relevant requirement;</w:t>
      </w:r>
      <w:r w:rsidR="00446D04">
        <w:rPr>
          <w:rFonts w:ascii="Arial" w:eastAsia="SimSun" w:hAnsi="Arial" w:cs="Arial"/>
          <w:bCs/>
          <w:sz w:val="20"/>
          <w:szCs w:val="20"/>
          <w:lang w:eastAsia="zh-CN"/>
        </w:rPr>
        <w:t xml:space="preserve"> </w:t>
      </w:r>
      <w:r w:rsidR="005528D9">
        <w:rPr>
          <w:rFonts w:ascii="Arial" w:eastAsia="SimSun" w:hAnsi="Arial" w:cs="Arial"/>
          <w:bCs/>
          <w:sz w:val="20"/>
          <w:szCs w:val="20"/>
          <w:lang w:eastAsia="zh-CN"/>
        </w:rPr>
        <w:t>(ii) d</w:t>
      </w:r>
      <w:r w:rsidRPr="00982A08">
        <w:rPr>
          <w:rFonts w:ascii="Arial" w:eastAsia="SimSun" w:hAnsi="Arial" w:cs="Arial"/>
          <w:bCs/>
          <w:sz w:val="20"/>
          <w:szCs w:val="20"/>
          <w:lang w:eastAsia="zh-CN"/>
        </w:rPr>
        <w:t>eciding whe</w:t>
      </w:r>
      <w:r w:rsidR="00446D04">
        <w:rPr>
          <w:rFonts w:ascii="Arial" w:eastAsia="SimSun" w:hAnsi="Arial" w:cs="Arial"/>
          <w:bCs/>
          <w:sz w:val="20"/>
          <w:szCs w:val="20"/>
          <w:lang w:eastAsia="zh-CN"/>
        </w:rPr>
        <w:t>n to impose a financial penalty; and (iii) d</w:t>
      </w:r>
      <w:r w:rsidRPr="00982A08">
        <w:rPr>
          <w:rFonts w:ascii="Arial" w:eastAsia="SimSun" w:hAnsi="Arial" w:cs="Arial"/>
          <w:bCs/>
          <w:sz w:val="20"/>
          <w:szCs w:val="20"/>
          <w:lang w:eastAsia="zh-CN"/>
        </w:rPr>
        <w:t>eciding when to impose a restitution requirement.</w:t>
      </w:r>
      <w:r w:rsidR="00446D04">
        <w:rPr>
          <w:rFonts w:ascii="Arial" w:eastAsia="SimSun" w:hAnsi="Arial" w:cs="Arial"/>
          <w:bCs/>
          <w:sz w:val="20"/>
          <w:szCs w:val="20"/>
          <w:lang w:eastAsia="zh-CN"/>
        </w:rPr>
        <w:t xml:space="preserve"> </w:t>
      </w:r>
      <w:r w:rsidRPr="00982A08">
        <w:rPr>
          <w:rFonts w:ascii="Arial" w:eastAsia="SimSun" w:hAnsi="Arial" w:cs="Arial"/>
          <w:bCs/>
          <w:sz w:val="20"/>
          <w:szCs w:val="20"/>
          <w:lang w:eastAsia="zh-CN"/>
        </w:rPr>
        <w:t xml:space="preserve">The FCA clarifies that it will use its executive procedures when deciding whether to remove a proxy adviser from the public list of proxy advisers. </w:t>
      </w:r>
      <w:r w:rsidR="00446D04">
        <w:rPr>
          <w:rFonts w:ascii="Arial" w:eastAsia="SimSun" w:hAnsi="Arial" w:cs="Arial"/>
          <w:bCs/>
          <w:sz w:val="20"/>
          <w:szCs w:val="20"/>
          <w:lang w:eastAsia="zh-CN"/>
        </w:rPr>
        <w:t xml:space="preserve"> Furthermore, a new section has been added to the EG on non-FSMA powers that explains how the FCA will use its powers under the PA Regulations, which will broadly mirror its approach to conducting investigations, sanctioning and using its regulatory powers under FSMA. </w:t>
      </w:r>
      <w:r w:rsidRPr="00982A08">
        <w:rPr>
          <w:rFonts w:ascii="Arial" w:eastAsia="SimSun" w:hAnsi="Arial" w:cs="Arial"/>
          <w:bCs/>
          <w:sz w:val="20"/>
          <w:szCs w:val="20"/>
          <w:lang w:eastAsia="zh-CN"/>
        </w:rPr>
        <w:t>Appendix 1 to PS19/28 contains the</w:t>
      </w:r>
      <w:r w:rsidRPr="00446D04">
        <w:rPr>
          <w:rFonts w:ascii="Arial" w:eastAsia="SimSun" w:hAnsi="Arial" w:cs="Arial"/>
          <w:bCs/>
          <w:sz w:val="20"/>
          <w:szCs w:val="20"/>
          <w:lang w:eastAsia="zh-CN"/>
        </w:rPr>
        <w:t xml:space="preserve"> </w:t>
      </w:r>
      <w:r w:rsidRPr="00446D04">
        <w:rPr>
          <w:rFonts w:ascii="Arial" w:eastAsia="SimSun" w:hAnsi="Arial" w:cs="Arial"/>
          <w:bCs/>
          <w:iCs/>
          <w:sz w:val="20"/>
          <w:szCs w:val="20"/>
          <w:lang w:eastAsia="zh-CN"/>
        </w:rPr>
        <w:t>Proxy Advisers (DEPP and E</w:t>
      </w:r>
      <w:r w:rsidR="00446D04" w:rsidRPr="00446D04">
        <w:rPr>
          <w:rFonts w:ascii="Arial" w:eastAsia="SimSun" w:hAnsi="Arial" w:cs="Arial"/>
          <w:bCs/>
          <w:iCs/>
          <w:sz w:val="20"/>
          <w:szCs w:val="20"/>
          <w:lang w:eastAsia="zh-CN"/>
        </w:rPr>
        <w:t>G) Instrument 2019</w:t>
      </w:r>
      <w:r w:rsidRPr="00446D04">
        <w:rPr>
          <w:rFonts w:ascii="Arial" w:eastAsia="SimSun" w:hAnsi="Arial" w:cs="Arial"/>
          <w:bCs/>
          <w:sz w:val="20"/>
          <w:szCs w:val="20"/>
          <w:lang w:eastAsia="zh-CN"/>
        </w:rPr>
        <w:t>, which comes into force on 25 November.</w:t>
      </w:r>
    </w:p>
    <w:p w:rsidR="00982A08" w:rsidRPr="00982A08" w:rsidRDefault="00AE3A4B" w:rsidP="00004116">
      <w:pPr>
        <w:rPr>
          <w:rFonts w:ascii="Arial" w:eastAsia="SimSun" w:hAnsi="Arial" w:cs="Arial"/>
          <w:bCs/>
          <w:sz w:val="20"/>
          <w:szCs w:val="20"/>
          <w:lang w:eastAsia="zh-CN"/>
        </w:rPr>
      </w:pPr>
      <w:hyperlink r:id="rId40" w:history="1">
        <w:r w:rsidR="00982A08">
          <w:rPr>
            <w:rStyle w:val="Hyperlink"/>
            <w:rFonts w:ascii="Arial" w:eastAsia="SimSun" w:hAnsi="Arial" w:cs="Arial"/>
            <w:bCs/>
            <w:sz w:val="20"/>
            <w:szCs w:val="20"/>
            <w:lang w:eastAsia="zh-CN"/>
          </w:rPr>
          <w:t>Read more</w:t>
        </w:r>
      </w:hyperlink>
      <w:r w:rsidR="00982A08" w:rsidRPr="00982A08">
        <w:rPr>
          <w:rFonts w:ascii="Arial" w:eastAsia="SimSun" w:hAnsi="Arial" w:cs="Arial"/>
          <w:bCs/>
          <w:sz w:val="20"/>
          <w:szCs w:val="20"/>
          <w:lang w:eastAsia="zh-CN"/>
        </w:rPr>
        <w:t xml:space="preserve"> </w:t>
      </w:r>
    </w:p>
    <w:p w:rsidR="00982A08" w:rsidRDefault="00982A08" w:rsidP="00004116">
      <w:pPr>
        <w:rPr>
          <w:rFonts w:ascii="Arial" w:eastAsia="SimSun" w:hAnsi="Arial" w:cs="Arial"/>
          <w:b/>
          <w:bCs/>
          <w:sz w:val="20"/>
          <w:szCs w:val="20"/>
          <w:lang w:eastAsia="zh-CN"/>
        </w:rPr>
      </w:pPr>
    </w:p>
    <w:p w:rsidR="00004116" w:rsidRPr="00004116" w:rsidRDefault="00004116" w:rsidP="00004116">
      <w:pPr>
        <w:rPr>
          <w:rFonts w:ascii="Arial" w:eastAsia="SimSun" w:hAnsi="Arial" w:cs="Arial"/>
          <w:b/>
          <w:bCs/>
          <w:sz w:val="20"/>
          <w:szCs w:val="20"/>
          <w:lang w:eastAsia="zh-CN"/>
        </w:rPr>
      </w:pPr>
      <w:r w:rsidRPr="00004116">
        <w:rPr>
          <w:rFonts w:ascii="Arial" w:eastAsia="SimSun" w:hAnsi="Arial" w:cs="Arial"/>
          <w:b/>
          <w:bCs/>
          <w:sz w:val="20"/>
          <w:szCs w:val="20"/>
          <w:lang w:eastAsia="zh-CN"/>
        </w:rPr>
        <w:t>FCA Handbook Notice</w:t>
      </w:r>
      <w:r w:rsidR="00167C44">
        <w:rPr>
          <w:rFonts w:ascii="Arial" w:eastAsia="SimSun" w:hAnsi="Arial" w:cs="Arial"/>
          <w:b/>
          <w:bCs/>
          <w:sz w:val="20"/>
          <w:szCs w:val="20"/>
          <w:lang w:eastAsia="zh-CN"/>
        </w:rPr>
        <w:t xml:space="preserve"> No.</w:t>
      </w:r>
      <w:r w:rsidRPr="00004116">
        <w:rPr>
          <w:rFonts w:ascii="Arial" w:eastAsia="SimSun" w:hAnsi="Arial" w:cs="Arial"/>
          <w:b/>
          <w:bCs/>
          <w:sz w:val="20"/>
          <w:szCs w:val="20"/>
          <w:lang w:eastAsia="zh-CN"/>
        </w:rPr>
        <w:t xml:space="preserve"> 71</w:t>
      </w:r>
    </w:p>
    <w:p w:rsidR="00004116" w:rsidRPr="00004116" w:rsidRDefault="00004116" w:rsidP="00167C44">
      <w:pPr>
        <w:rPr>
          <w:rFonts w:ascii="Arial" w:eastAsia="SimSun" w:hAnsi="Arial" w:cs="Arial"/>
          <w:bCs/>
          <w:sz w:val="20"/>
          <w:szCs w:val="20"/>
          <w:lang w:eastAsia="zh-CN"/>
        </w:rPr>
      </w:pPr>
      <w:r w:rsidRPr="00004116">
        <w:rPr>
          <w:rFonts w:ascii="Arial" w:eastAsia="SimSun" w:hAnsi="Arial" w:cs="Arial"/>
          <w:bCs/>
          <w:sz w:val="20"/>
          <w:szCs w:val="20"/>
          <w:lang w:eastAsia="zh-CN"/>
        </w:rPr>
        <w:t>On 22 November, the FCA published Handbook Notice</w:t>
      </w:r>
      <w:r w:rsidR="00167C44">
        <w:rPr>
          <w:rFonts w:ascii="Arial" w:eastAsia="SimSun" w:hAnsi="Arial" w:cs="Arial"/>
          <w:bCs/>
          <w:sz w:val="20"/>
          <w:szCs w:val="20"/>
          <w:lang w:eastAsia="zh-CN"/>
        </w:rPr>
        <w:t xml:space="preserve"> No. 71, which outlines</w:t>
      </w:r>
      <w:r w:rsidRPr="00004116">
        <w:rPr>
          <w:rFonts w:ascii="Arial" w:eastAsia="SimSun" w:hAnsi="Arial" w:cs="Arial"/>
          <w:bCs/>
          <w:sz w:val="20"/>
          <w:szCs w:val="20"/>
          <w:lang w:eastAsia="zh-CN"/>
        </w:rPr>
        <w:t xml:space="preserve"> changes</w:t>
      </w:r>
      <w:r w:rsidR="00167C44">
        <w:rPr>
          <w:rFonts w:ascii="Arial" w:eastAsia="SimSun" w:hAnsi="Arial" w:cs="Arial"/>
          <w:bCs/>
          <w:sz w:val="20"/>
          <w:szCs w:val="20"/>
          <w:lang w:eastAsia="zh-CN"/>
        </w:rPr>
        <w:t xml:space="preserve"> made</w:t>
      </w:r>
      <w:r w:rsidRPr="00004116">
        <w:rPr>
          <w:rFonts w:ascii="Arial" w:eastAsia="SimSun" w:hAnsi="Arial" w:cs="Arial"/>
          <w:bCs/>
          <w:sz w:val="20"/>
          <w:szCs w:val="20"/>
          <w:lang w:eastAsia="zh-CN"/>
        </w:rPr>
        <w:t xml:space="preserve"> to the FCA</w:t>
      </w:r>
      <w:r w:rsidR="00167C44">
        <w:rPr>
          <w:rFonts w:ascii="Arial" w:eastAsia="SimSun" w:hAnsi="Arial" w:cs="Arial"/>
          <w:bCs/>
          <w:sz w:val="20"/>
          <w:szCs w:val="20"/>
          <w:lang w:eastAsia="zh-CN"/>
        </w:rPr>
        <w:t xml:space="preserve"> Handbook </w:t>
      </w:r>
      <w:r w:rsidRPr="00004116">
        <w:rPr>
          <w:rFonts w:ascii="Arial" w:eastAsia="SimSun" w:hAnsi="Arial" w:cs="Arial"/>
          <w:bCs/>
          <w:sz w:val="20"/>
          <w:szCs w:val="20"/>
          <w:lang w:eastAsia="zh-CN"/>
        </w:rPr>
        <w:t>on 24 October and 21 November</w:t>
      </w:r>
      <w:r w:rsidR="00167C44">
        <w:rPr>
          <w:rFonts w:ascii="Arial" w:eastAsia="SimSun" w:hAnsi="Arial" w:cs="Arial"/>
          <w:bCs/>
          <w:sz w:val="20"/>
          <w:szCs w:val="20"/>
          <w:lang w:eastAsia="zh-CN"/>
        </w:rPr>
        <w:t xml:space="preserve">. The </w:t>
      </w:r>
      <w:r w:rsidRPr="00004116">
        <w:rPr>
          <w:rFonts w:ascii="Arial" w:eastAsia="SimSun" w:hAnsi="Arial" w:cs="Arial"/>
          <w:bCs/>
          <w:sz w:val="20"/>
          <w:szCs w:val="20"/>
          <w:lang w:eastAsia="zh-CN"/>
        </w:rPr>
        <w:t>Notice reflects changes made to the Handbook by the following instruments:</w:t>
      </w:r>
      <w:r w:rsidR="00167C44">
        <w:rPr>
          <w:rFonts w:ascii="Arial" w:eastAsia="SimSun" w:hAnsi="Arial" w:cs="Arial"/>
          <w:bCs/>
          <w:sz w:val="20"/>
          <w:szCs w:val="20"/>
          <w:lang w:eastAsia="zh-CN"/>
        </w:rPr>
        <w:t xml:space="preserve"> (i) </w:t>
      </w:r>
      <w:r w:rsidRPr="00004116">
        <w:rPr>
          <w:rFonts w:ascii="Arial" w:eastAsia="SimSun" w:hAnsi="Arial" w:cs="Arial"/>
          <w:bCs/>
          <w:sz w:val="20"/>
          <w:szCs w:val="20"/>
          <w:lang w:eastAsia="zh-CN"/>
        </w:rPr>
        <w:t>Mortgages (Responsible Lendin</w:t>
      </w:r>
      <w:r w:rsidR="00167C44">
        <w:rPr>
          <w:rFonts w:ascii="Arial" w:eastAsia="SimSun" w:hAnsi="Arial" w:cs="Arial"/>
          <w:bCs/>
          <w:sz w:val="20"/>
          <w:szCs w:val="20"/>
          <w:lang w:eastAsia="zh-CN"/>
        </w:rPr>
        <w:t xml:space="preserve">g) Instrument 2019; (ii) </w:t>
      </w:r>
      <w:r w:rsidRPr="00004116">
        <w:rPr>
          <w:rFonts w:ascii="Arial" w:eastAsia="SimSun" w:hAnsi="Arial" w:cs="Arial"/>
          <w:bCs/>
          <w:sz w:val="20"/>
          <w:szCs w:val="20"/>
          <w:lang w:eastAsia="zh-CN"/>
        </w:rPr>
        <w:t>Exiting the European Union: Dispute Resolution: Complaints (Amendmen</w:t>
      </w:r>
      <w:r w:rsidR="00167C44">
        <w:rPr>
          <w:rFonts w:ascii="Arial" w:eastAsia="SimSun" w:hAnsi="Arial" w:cs="Arial"/>
          <w:bCs/>
          <w:sz w:val="20"/>
          <w:szCs w:val="20"/>
          <w:lang w:eastAsia="zh-CN"/>
        </w:rPr>
        <w:t xml:space="preserve">ts) Instrument 2019; (iii) </w:t>
      </w:r>
      <w:r w:rsidRPr="00004116">
        <w:rPr>
          <w:rFonts w:ascii="Arial" w:eastAsia="SimSun" w:hAnsi="Arial" w:cs="Arial"/>
          <w:bCs/>
          <w:sz w:val="20"/>
          <w:szCs w:val="20"/>
          <w:lang w:eastAsia="zh-CN"/>
        </w:rPr>
        <w:t>Training and Competence (Amendment No 8</w:t>
      </w:r>
      <w:r w:rsidR="00167C44">
        <w:rPr>
          <w:rFonts w:ascii="Arial" w:eastAsia="SimSun" w:hAnsi="Arial" w:cs="Arial"/>
          <w:bCs/>
          <w:sz w:val="20"/>
          <w:szCs w:val="20"/>
          <w:lang w:eastAsia="zh-CN"/>
        </w:rPr>
        <w:t xml:space="preserve">) Instrument 2019; (iv) </w:t>
      </w:r>
      <w:r w:rsidRPr="00004116">
        <w:rPr>
          <w:rFonts w:ascii="Arial" w:eastAsia="SimSun" w:hAnsi="Arial" w:cs="Arial"/>
          <w:bCs/>
          <w:sz w:val="20"/>
          <w:szCs w:val="20"/>
          <w:lang w:eastAsia="zh-CN"/>
        </w:rPr>
        <w:t>Supervision Manual (Reporting No 12</w:t>
      </w:r>
      <w:r w:rsidR="00167C44">
        <w:rPr>
          <w:rFonts w:ascii="Arial" w:eastAsia="SimSun" w:hAnsi="Arial" w:cs="Arial"/>
          <w:bCs/>
          <w:sz w:val="20"/>
          <w:szCs w:val="20"/>
          <w:lang w:eastAsia="zh-CN"/>
        </w:rPr>
        <w:t xml:space="preserve">) Instrument 2019; and (v) </w:t>
      </w:r>
      <w:r w:rsidRPr="00004116">
        <w:rPr>
          <w:rFonts w:ascii="Arial" w:eastAsia="SimSun" w:hAnsi="Arial" w:cs="Arial"/>
          <w:bCs/>
          <w:sz w:val="20"/>
          <w:szCs w:val="20"/>
          <w:lang w:eastAsia="zh-CN"/>
        </w:rPr>
        <w:t xml:space="preserve">Over-the-Counter Derivatives Central Counterparties and Trade Repositories (No </w:t>
      </w:r>
      <w:r w:rsidR="00167C44">
        <w:rPr>
          <w:rFonts w:ascii="Arial" w:eastAsia="SimSun" w:hAnsi="Arial" w:cs="Arial"/>
          <w:bCs/>
          <w:sz w:val="20"/>
          <w:szCs w:val="20"/>
          <w:lang w:eastAsia="zh-CN"/>
        </w:rPr>
        <w:t>3) Instrument 2019</w:t>
      </w:r>
      <w:r w:rsidRPr="00004116">
        <w:rPr>
          <w:rFonts w:ascii="Arial" w:eastAsia="SimSun" w:hAnsi="Arial" w:cs="Arial"/>
          <w:bCs/>
          <w:sz w:val="20"/>
          <w:szCs w:val="20"/>
          <w:lang w:eastAsia="zh-CN"/>
        </w:rPr>
        <w:t>.</w:t>
      </w:r>
    </w:p>
    <w:p w:rsidR="00004116" w:rsidRDefault="00AE3A4B" w:rsidP="008D380E">
      <w:pPr>
        <w:rPr>
          <w:rFonts w:ascii="Arial" w:eastAsia="SimSun" w:hAnsi="Arial" w:cs="Arial"/>
          <w:bCs/>
          <w:sz w:val="20"/>
          <w:szCs w:val="20"/>
          <w:lang w:eastAsia="zh-CN"/>
        </w:rPr>
      </w:pPr>
      <w:hyperlink r:id="rId41" w:history="1">
        <w:r w:rsidR="00004116">
          <w:rPr>
            <w:rStyle w:val="Hyperlink"/>
            <w:rFonts w:ascii="Arial" w:eastAsia="SimSun" w:hAnsi="Arial" w:cs="Arial"/>
            <w:bCs/>
            <w:sz w:val="20"/>
            <w:szCs w:val="20"/>
            <w:lang w:eastAsia="zh-CN"/>
          </w:rPr>
          <w:t>Read more</w:t>
        </w:r>
      </w:hyperlink>
    </w:p>
    <w:p w:rsidR="00004116" w:rsidRDefault="00004116" w:rsidP="008D380E">
      <w:pPr>
        <w:rPr>
          <w:rFonts w:ascii="Arial" w:eastAsia="SimSun" w:hAnsi="Arial" w:cs="Arial"/>
          <w:bCs/>
          <w:sz w:val="20"/>
          <w:szCs w:val="20"/>
          <w:lang w:eastAsia="zh-CN"/>
        </w:rPr>
      </w:pPr>
    </w:p>
    <w:p w:rsidR="00004116" w:rsidRPr="00004116" w:rsidRDefault="00004116" w:rsidP="00004116">
      <w:pPr>
        <w:rPr>
          <w:rFonts w:ascii="Arial" w:eastAsia="SimSun" w:hAnsi="Arial" w:cs="Arial"/>
          <w:b/>
          <w:bCs/>
          <w:sz w:val="20"/>
          <w:szCs w:val="20"/>
          <w:lang w:eastAsia="zh-CN"/>
        </w:rPr>
      </w:pPr>
      <w:r w:rsidRPr="00004116">
        <w:rPr>
          <w:rFonts w:ascii="Arial" w:eastAsia="SimSun" w:hAnsi="Arial" w:cs="Arial"/>
          <w:b/>
          <w:bCs/>
          <w:sz w:val="20"/>
          <w:szCs w:val="20"/>
          <w:lang w:eastAsia="zh-CN"/>
        </w:rPr>
        <w:t>FSB</w:t>
      </w:r>
      <w:r w:rsidR="00884DCC">
        <w:rPr>
          <w:rFonts w:ascii="Arial" w:eastAsia="SimSun" w:hAnsi="Arial" w:cs="Arial"/>
          <w:b/>
          <w:bCs/>
          <w:sz w:val="20"/>
          <w:szCs w:val="20"/>
          <w:lang w:eastAsia="zh-CN"/>
        </w:rPr>
        <w:t xml:space="preserve"> updates list of G-SIBs</w:t>
      </w:r>
    </w:p>
    <w:p w:rsidR="00BB6A8D" w:rsidRPr="00BB6A8D" w:rsidRDefault="00004116" w:rsidP="00BB6A8D">
      <w:pPr>
        <w:rPr>
          <w:rFonts w:ascii="Arial" w:eastAsia="SimSun" w:hAnsi="Arial" w:cs="Arial"/>
          <w:bCs/>
          <w:sz w:val="20"/>
          <w:szCs w:val="20"/>
          <w:lang w:eastAsia="zh-CN"/>
        </w:rPr>
      </w:pPr>
      <w:r w:rsidRPr="00004116">
        <w:rPr>
          <w:rFonts w:ascii="Arial" w:eastAsia="SimSun" w:hAnsi="Arial" w:cs="Arial"/>
          <w:bCs/>
          <w:sz w:val="20"/>
          <w:szCs w:val="20"/>
          <w:lang w:eastAsia="zh-CN"/>
        </w:rPr>
        <w:t>On 22 November,</w:t>
      </w:r>
      <w:r w:rsidR="00884DCC">
        <w:rPr>
          <w:rFonts w:ascii="Arial" w:eastAsia="SimSun" w:hAnsi="Arial" w:cs="Arial"/>
          <w:bCs/>
          <w:sz w:val="20"/>
          <w:szCs w:val="20"/>
          <w:lang w:eastAsia="zh-CN"/>
        </w:rPr>
        <w:t xml:space="preserve"> the FSB published an</w:t>
      </w:r>
      <w:r w:rsidRPr="00004116">
        <w:rPr>
          <w:rFonts w:ascii="Arial" w:eastAsia="SimSun" w:hAnsi="Arial" w:cs="Arial"/>
          <w:bCs/>
          <w:sz w:val="20"/>
          <w:szCs w:val="20"/>
          <w:lang w:eastAsia="zh-CN"/>
        </w:rPr>
        <w:t xml:space="preserve"> update</w:t>
      </w:r>
      <w:r w:rsidR="00884DCC">
        <w:rPr>
          <w:rFonts w:ascii="Arial" w:eastAsia="SimSun" w:hAnsi="Arial" w:cs="Arial"/>
          <w:bCs/>
          <w:sz w:val="20"/>
          <w:szCs w:val="20"/>
          <w:lang w:eastAsia="zh-CN"/>
        </w:rPr>
        <w:t xml:space="preserve">d </w:t>
      </w:r>
      <w:r w:rsidRPr="00884DCC">
        <w:rPr>
          <w:rFonts w:ascii="Arial" w:eastAsia="SimSun" w:hAnsi="Arial" w:cs="Arial"/>
          <w:bCs/>
          <w:iCs/>
          <w:sz w:val="20"/>
          <w:szCs w:val="20"/>
          <w:lang w:eastAsia="zh-CN"/>
        </w:rPr>
        <w:t>list</w:t>
      </w:r>
      <w:r w:rsidRPr="00004116">
        <w:rPr>
          <w:rFonts w:ascii="Arial" w:eastAsia="SimSun" w:hAnsi="Arial" w:cs="Arial"/>
          <w:bCs/>
          <w:sz w:val="20"/>
          <w:szCs w:val="20"/>
          <w:lang w:eastAsia="zh-CN"/>
        </w:rPr>
        <w:t xml:space="preserve"> of banks identi</w:t>
      </w:r>
      <w:r w:rsidR="00884DCC">
        <w:rPr>
          <w:rFonts w:ascii="Arial" w:eastAsia="SimSun" w:hAnsi="Arial" w:cs="Arial"/>
          <w:bCs/>
          <w:sz w:val="20"/>
          <w:szCs w:val="20"/>
          <w:lang w:eastAsia="zh-CN"/>
        </w:rPr>
        <w:t>fied as G-SIBs</w:t>
      </w:r>
      <w:r w:rsidRPr="00004116">
        <w:rPr>
          <w:rFonts w:ascii="Arial" w:eastAsia="SimSun" w:hAnsi="Arial" w:cs="Arial"/>
          <w:bCs/>
          <w:sz w:val="20"/>
          <w:szCs w:val="20"/>
          <w:lang w:eastAsia="zh-CN"/>
        </w:rPr>
        <w:t>.</w:t>
      </w:r>
      <w:r w:rsidR="00167C44">
        <w:rPr>
          <w:rFonts w:ascii="Arial" w:eastAsia="SimSun" w:hAnsi="Arial" w:cs="Arial"/>
          <w:bCs/>
          <w:sz w:val="20"/>
          <w:szCs w:val="20"/>
          <w:lang w:eastAsia="zh-CN"/>
        </w:rPr>
        <w:t xml:space="preserve"> </w:t>
      </w:r>
      <w:r w:rsidR="00884DCC">
        <w:rPr>
          <w:rFonts w:ascii="Arial" w:eastAsia="SimSun" w:hAnsi="Arial" w:cs="Arial"/>
          <w:bCs/>
          <w:sz w:val="20"/>
          <w:szCs w:val="20"/>
          <w:lang w:eastAsia="zh-CN"/>
        </w:rPr>
        <w:t xml:space="preserve">The overall number of </w:t>
      </w:r>
      <w:r w:rsidR="00167C44">
        <w:rPr>
          <w:rFonts w:ascii="Arial" w:eastAsia="SimSun" w:hAnsi="Arial" w:cs="Arial"/>
          <w:bCs/>
          <w:sz w:val="20"/>
          <w:szCs w:val="20"/>
          <w:lang w:eastAsia="zh-CN"/>
        </w:rPr>
        <w:t xml:space="preserve">G-SIBs has increased from 29 to 30, to include the addition of Toronto Dominion. </w:t>
      </w:r>
      <w:r w:rsidRPr="00004116">
        <w:rPr>
          <w:rFonts w:ascii="Arial" w:eastAsia="SimSun" w:hAnsi="Arial" w:cs="Arial"/>
          <w:bCs/>
          <w:sz w:val="20"/>
          <w:szCs w:val="20"/>
          <w:lang w:eastAsia="zh-CN"/>
        </w:rPr>
        <w:t>There have also been changes in the allocation of the institutions to buckets reflecting the effects of changes in the underlying activity of the banks. The FSB will next publish a new list of G-SIBs in November 2020.</w:t>
      </w:r>
      <w:r w:rsidR="00BB6A8D">
        <w:rPr>
          <w:rFonts w:ascii="Arial" w:eastAsia="SimSun" w:hAnsi="Arial" w:cs="Arial"/>
          <w:bCs/>
          <w:sz w:val="20"/>
          <w:szCs w:val="20"/>
          <w:lang w:eastAsia="zh-CN"/>
        </w:rPr>
        <w:t xml:space="preserve"> At the same time, the BCBS published </w:t>
      </w:r>
      <w:r w:rsidR="00BB6A8D" w:rsidRPr="00BB6A8D">
        <w:rPr>
          <w:rFonts w:ascii="Arial" w:eastAsia="SimSun" w:hAnsi="Arial" w:cs="Arial"/>
          <w:bCs/>
          <w:sz w:val="20"/>
          <w:szCs w:val="20"/>
          <w:lang w:eastAsia="zh-CN"/>
        </w:rPr>
        <w:t xml:space="preserve">further information related to its 2019 assessment of </w:t>
      </w:r>
      <w:r w:rsidR="00BB6A8D">
        <w:rPr>
          <w:rFonts w:ascii="Arial" w:eastAsia="SimSun" w:hAnsi="Arial" w:cs="Arial"/>
          <w:bCs/>
          <w:sz w:val="20"/>
          <w:szCs w:val="20"/>
          <w:lang w:eastAsia="zh-CN"/>
        </w:rPr>
        <w:t>G-SIBs</w:t>
      </w:r>
      <w:r w:rsidR="00BB6A8D" w:rsidRPr="00BB6A8D">
        <w:rPr>
          <w:rFonts w:ascii="Arial" w:eastAsia="SimSun" w:hAnsi="Arial" w:cs="Arial"/>
          <w:bCs/>
          <w:sz w:val="20"/>
          <w:szCs w:val="20"/>
          <w:lang w:eastAsia="zh-CN"/>
        </w:rPr>
        <w:t>, including additional details underlying the scoring methodology.</w:t>
      </w:r>
      <w:r w:rsidR="00BB6A8D">
        <w:rPr>
          <w:rFonts w:ascii="Arial" w:eastAsia="SimSun" w:hAnsi="Arial" w:cs="Arial"/>
          <w:bCs/>
          <w:sz w:val="20"/>
          <w:szCs w:val="20"/>
          <w:lang w:eastAsia="zh-CN"/>
        </w:rPr>
        <w:t xml:space="preserve"> </w:t>
      </w:r>
      <w:r w:rsidR="00BB6A8D" w:rsidRPr="00BB6A8D">
        <w:rPr>
          <w:rFonts w:ascii="Arial" w:eastAsia="SimSun" w:hAnsi="Arial" w:cs="Arial"/>
          <w:bCs/>
          <w:sz w:val="20"/>
          <w:szCs w:val="20"/>
          <w:lang w:eastAsia="zh-CN"/>
        </w:rPr>
        <w:t xml:space="preserve">The </w:t>
      </w:r>
      <w:r w:rsidR="00BB6A8D">
        <w:rPr>
          <w:rFonts w:ascii="Arial" w:eastAsia="SimSun" w:hAnsi="Arial" w:cs="Arial"/>
          <w:bCs/>
          <w:sz w:val="20"/>
          <w:szCs w:val="20"/>
          <w:lang w:eastAsia="zh-CN"/>
        </w:rPr>
        <w:t>BCBS</w:t>
      </w:r>
      <w:r w:rsidR="00BB6A8D" w:rsidRPr="00BB6A8D">
        <w:rPr>
          <w:rFonts w:ascii="Arial" w:eastAsia="SimSun" w:hAnsi="Arial" w:cs="Arial"/>
          <w:bCs/>
          <w:sz w:val="20"/>
          <w:szCs w:val="20"/>
          <w:lang w:eastAsia="zh-CN"/>
        </w:rPr>
        <w:t xml:space="preserve">' methodology assesses the systemic importance of global </w:t>
      </w:r>
      <w:r w:rsidR="00BB6A8D" w:rsidRPr="00BB6A8D">
        <w:rPr>
          <w:rFonts w:ascii="Arial" w:eastAsia="SimSun" w:hAnsi="Arial" w:cs="Arial"/>
          <w:bCs/>
          <w:sz w:val="20"/>
          <w:szCs w:val="20"/>
          <w:lang w:eastAsia="zh-CN"/>
        </w:rPr>
        <w:lastRenderedPageBreak/>
        <w:t>banks using indicators that are calculated based on the data for the previous fiscal year-end supplied by banks and validated b</w:t>
      </w:r>
      <w:bookmarkStart w:id="0" w:name="_GoBack"/>
      <w:bookmarkEnd w:id="0"/>
      <w:r w:rsidR="00BB6A8D" w:rsidRPr="00BB6A8D">
        <w:rPr>
          <w:rFonts w:ascii="Arial" w:eastAsia="SimSun" w:hAnsi="Arial" w:cs="Arial"/>
          <w:bCs/>
          <w:sz w:val="20"/>
          <w:szCs w:val="20"/>
          <w:lang w:eastAsia="zh-CN"/>
        </w:rPr>
        <w:t>y national authorities. The final scores are mapped to corresponding buckets, which determine the higher loss absorbency requirement for each G-SIB.</w:t>
      </w:r>
    </w:p>
    <w:p w:rsidR="00004116" w:rsidRDefault="00AE3A4B" w:rsidP="008D380E">
      <w:pPr>
        <w:rPr>
          <w:rFonts w:ascii="Arial" w:eastAsia="SimSun" w:hAnsi="Arial" w:cs="Arial"/>
          <w:bCs/>
          <w:sz w:val="20"/>
          <w:szCs w:val="20"/>
          <w:lang w:eastAsia="zh-CN"/>
        </w:rPr>
      </w:pPr>
      <w:hyperlink r:id="rId42" w:history="1">
        <w:r w:rsidR="00BB6A8D" w:rsidRPr="00BB6A8D">
          <w:rPr>
            <w:rStyle w:val="Hyperlink"/>
            <w:rFonts w:ascii="Arial" w:eastAsia="SimSun" w:hAnsi="Arial" w:cs="Arial"/>
            <w:bCs/>
            <w:sz w:val="20"/>
            <w:szCs w:val="20"/>
            <w:lang w:eastAsia="zh-CN"/>
          </w:rPr>
          <w:t>FSB list</w:t>
        </w:r>
      </w:hyperlink>
    </w:p>
    <w:p w:rsidR="00BB6A8D" w:rsidRPr="008D380E" w:rsidRDefault="00AE3A4B" w:rsidP="008D380E">
      <w:pPr>
        <w:rPr>
          <w:rFonts w:ascii="Arial" w:eastAsia="SimSun" w:hAnsi="Arial" w:cs="Arial"/>
          <w:bCs/>
          <w:sz w:val="20"/>
          <w:szCs w:val="20"/>
          <w:lang w:eastAsia="zh-CN"/>
        </w:rPr>
      </w:pPr>
      <w:hyperlink r:id="rId43" w:history="1">
        <w:r w:rsidR="00BB6A8D" w:rsidRPr="00BB6A8D">
          <w:rPr>
            <w:rStyle w:val="Hyperlink"/>
            <w:rFonts w:ascii="Arial" w:eastAsia="SimSun" w:hAnsi="Arial" w:cs="Arial"/>
            <w:bCs/>
            <w:sz w:val="20"/>
            <w:szCs w:val="20"/>
            <w:lang w:eastAsia="zh-CN"/>
          </w:rPr>
          <w:t>BCBS methodology</w:t>
        </w:r>
      </w:hyperlink>
    </w:p>
    <w:sectPr w:rsidR="00BB6A8D" w:rsidRPr="008D380E" w:rsidSect="004D58C5">
      <w:headerReference w:type="even" r:id="rId44"/>
      <w:headerReference w:type="default" r:id="rId45"/>
      <w:footerReference w:type="even" r:id="rId46"/>
      <w:footerReference w:type="default" r:id="rId47"/>
      <w:headerReference w:type="first" r:id="rId48"/>
      <w:footerReference w:type="first" r:id="rId49"/>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8C5" w:rsidRPr="00920631" w:rsidRDefault="004D58C5" w:rsidP="001E7139">
      <w:r w:rsidRPr="00920631">
        <w:separator/>
      </w:r>
    </w:p>
  </w:endnote>
  <w:endnote w:type="continuationSeparator" w:id="0">
    <w:p w:rsidR="004D58C5" w:rsidRPr="00920631" w:rsidRDefault="004D58C5"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C5" w:rsidRDefault="004D5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281"/>
      <w:gridCol w:w="3286"/>
      <w:gridCol w:w="3288"/>
    </w:tblGrid>
    <w:tr w:rsidR="00BB07C3" w:rsidRPr="00920631" w:rsidTr="00860FC9">
      <w:tc>
        <w:tcPr>
          <w:tcW w:w="5000" w:type="pct"/>
          <w:gridSpan w:val="3"/>
          <w:tcMar>
            <w:top w:w="170" w:type="dxa"/>
          </w:tcMar>
        </w:tcPr>
        <w:bookmarkStart w:id="1" w:name="bmkFooterPrimaryDoc"/>
        <w:p w:rsidR="00BB07C3" w:rsidRPr="00920631" w:rsidRDefault="00BB07C3" w:rsidP="007D75EC">
          <w:pPr>
            <w:pStyle w:val="AONormal8LBold"/>
          </w:pPr>
          <w:r w:rsidRPr="00920631">
            <w:fldChar w:fldCharType="begin"/>
          </w:r>
          <w:r w:rsidRPr="00920631">
            <w:instrText xml:space="preserve"> DOCPROPERTY cpFooterText </w:instrText>
          </w:r>
          <w:r w:rsidRPr="00920631">
            <w:fldChar w:fldCharType="separate"/>
          </w:r>
          <w:r w:rsidR="006052C2">
            <w:t xml:space="preserve"> </w:t>
          </w:r>
          <w:r w:rsidRPr="00920631">
            <w:fldChar w:fldCharType="end"/>
          </w:r>
        </w:p>
      </w:tc>
    </w:tr>
    <w:tr w:rsidR="00BB07C3" w:rsidRPr="00920631" w:rsidTr="00860FC9">
      <w:tc>
        <w:tcPr>
          <w:tcW w:w="1665" w:type="pct"/>
        </w:tcPr>
        <w:p w:rsidR="00BB07C3" w:rsidRPr="00920631" w:rsidRDefault="00AE3A4B" w:rsidP="007D75EC">
          <w:pPr>
            <w:pStyle w:val="AONormal8L"/>
          </w:pPr>
          <w:r>
            <w:fldChar w:fldCharType="begin"/>
          </w:r>
          <w:r>
            <w:instrText xml:space="preserve"> DOCPROPERTY cpCombinedRef </w:instrText>
          </w:r>
          <w:r>
            <w:fldChar w:fldCharType="separate"/>
          </w:r>
          <w:r w:rsidR="006052C2">
            <w:t>0010023-0024973 BK:51640892.3</w:t>
          </w:r>
          <w:r>
            <w:fldChar w:fldCharType="end"/>
          </w:r>
        </w:p>
      </w:tc>
      <w:tc>
        <w:tcPr>
          <w:tcW w:w="1667" w:type="pct"/>
        </w:tcPr>
        <w:p w:rsidR="00BB07C3" w:rsidRPr="00920631" w:rsidRDefault="00BB07C3" w:rsidP="007D75EC">
          <w:pPr>
            <w:pStyle w:val="AONormal8C"/>
          </w:pPr>
          <w:r w:rsidRPr="00920631">
            <w:fldChar w:fldCharType="begin"/>
          </w:r>
          <w:r w:rsidRPr="00920631">
            <w:instrText xml:space="preserve"> PAGE  \* Arabic  \* MERGEFORMAT </w:instrText>
          </w:r>
          <w:r w:rsidRPr="00920631">
            <w:fldChar w:fldCharType="separate"/>
          </w:r>
          <w:r w:rsidR="00AE3A4B">
            <w:rPr>
              <w:noProof/>
            </w:rPr>
            <w:t>6</w:t>
          </w:r>
          <w:r w:rsidRPr="00920631">
            <w:fldChar w:fldCharType="end"/>
          </w:r>
        </w:p>
      </w:tc>
      <w:tc>
        <w:tcPr>
          <w:tcW w:w="1667" w:type="pct"/>
        </w:tcPr>
        <w:p w:rsidR="00BB07C3" w:rsidRPr="00920631" w:rsidRDefault="00BB07C3" w:rsidP="007D75EC">
          <w:pPr>
            <w:pStyle w:val="AONormal8R"/>
          </w:pPr>
        </w:p>
      </w:tc>
    </w:tr>
    <w:bookmarkEnd w:id="1"/>
  </w:tbl>
  <w:p w:rsidR="0061772E" w:rsidRPr="00920631" w:rsidRDefault="00AE3A4B" w:rsidP="008C14D4">
    <w:pPr>
      <w:pStyle w:val="AONormal8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283"/>
      <w:gridCol w:w="3286"/>
      <w:gridCol w:w="3286"/>
    </w:tblGrid>
    <w:tr w:rsidR="005D5CB3" w:rsidTr="005D5CB3">
      <w:tc>
        <w:tcPr>
          <w:tcW w:w="5000" w:type="pct"/>
          <w:gridSpan w:val="3"/>
          <w:tcMar>
            <w:top w:w="170" w:type="dxa"/>
          </w:tcMar>
        </w:tcPr>
        <w:p w:rsidR="005D5CB3" w:rsidRDefault="00AE3A4B" w:rsidP="005D5CB3">
          <w:pPr>
            <w:pStyle w:val="AONormal8LBold"/>
          </w:pPr>
          <w:r>
            <w:fldChar w:fldCharType="begin"/>
          </w:r>
          <w:r>
            <w:instrText xml:space="preserve"> DOCPROPERTY  cpFooterText </w:instrText>
          </w:r>
          <w:r>
            <w:fldChar w:fldCharType="separate"/>
          </w:r>
          <w:r w:rsidR="00027983">
            <w:t xml:space="preserve"> </w:t>
          </w:r>
          <w:r>
            <w:fldChar w:fldCharType="end"/>
          </w:r>
        </w:p>
      </w:tc>
    </w:tr>
    <w:tr w:rsidR="005D5CB3" w:rsidTr="005D5CB3">
      <w:tc>
        <w:tcPr>
          <w:tcW w:w="1666" w:type="pct"/>
        </w:tcPr>
        <w:p w:rsidR="005D5CB3" w:rsidRDefault="00AE3A4B" w:rsidP="005D5CB3">
          <w:pPr>
            <w:pStyle w:val="AONormal8L"/>
          </w:pPr>
          <w:r>
            <w:fldChar w:fldCharType="begin"/>
          </w:r>
          <w:r>
            <w:instrText xml:space="preserve"> DOCPROPERTY  cpCombinedRef </w:instrText>
          </w:r>
          <w:r>
            <w:fldChar w:fldCharType="separate"/>
          </w:r>
          <w:r w:rsidR="00027983">
            <w:t>PERSONAL-BOYDCL BK:51574976.1</w:t>
          </w:r>
          <w:r>
            <w:fldChar w:fldCharType="end"/>
          </w:r>
        </w:p>
      </w:tc>
      <w:tc>
        <w:tcPr>
          <w:tcW w:w="1667" w:type="pct"/>
        </w:tcPr>
        <w:p w:rsidR="005D5CB3" w:rsidRDefault="005D5CB3"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rsidR="005D5CB3" w:rsidRDefault="005D5CB3" w:rsidP="005D5CB3">
          <w:pPr>
            <w:pStyle w:val="AONormal8R"/>
          </w:pPr>
        </w:p>
      </w:tc>
    </w:tr>
  </w:tbl>
  <w:p w:rsidR="005D5CB3" w:rsidRDefault="005D5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8C5" w:rsidRPr="00920631" w:rsidRDefault="004D58C5" w:rsidP="001E7139">
      <w:r w:rsidRPr="00920631">
        <w:separator/>
      </w:r>
    </w:p>
  </w:footnote>
  <w:footnote w:type="continuationSeparator" w:id="0">
    <w:p w:rsidR="004D58C5" w:rsidRPr="00920631" w:rsidRDefault="004D58C5" w:rsidP="001E7139">
      <w:r w:rsidRPr="0092063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C5" w:rsidRDefault="004D5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855"/>
    </w:tblGrid>
    <w:tr w:rsidR="0045533C" w:rsidRPr="00920631" w:rsidTr="0045533C">
      <w:tc>
        <w:tcPr>
          <w:tcW w:w="5000" w:type="pct"/>
        </w:tcPr>
        <w:p w:rsidR="0045533C" w:rsidRPr="00920631" w:rsidRDefault="00AE3A4B" w:rsidP="0045533C">
          <w:pPr>
            <w:pStyle w:val="AONormal8LBold"/>
          </w:pPr>
          <w:r>
            <w:fldChar w:fldCharType="begin"/>
          </w:r>
          <w:r>
            <w:instrText xml:space="preserve"> DOCPROPERTY  cpHeaderText </w:instrText>
          </w:r>
          <w:r>
            <w:fldChar w:fldCharType="separate"/>
          </w:r>
          <w:r w:rsidR="006052C2">
            <w:t xml:space="preserve"> </w:t>
          </w:r>
          <w:r>
            <w:fldChar w:fldCharType="end"/>
          </w:r>
        </w:p>
      </w:tc>
    </w:tr>
  </w:tbl>
  <w:p w:rsidR="0061772E" w:rsidRPr="00920631" w:rsidRDefault="00AE3A4B" w:rsidP="0061772E">
    <w:pPr>
      <w:pStyle w:val="AONormal8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854"/>
    </w:tblGrid>
    <w:tr w:rsidR="005D5CB3" w:rsidTr="005D5CB3">
      <w:tc>
        <w:tcPr>
          <w:tcW w:w="9854" w:type="dxa"/>
        </w:tcPr>
        <w:bookmarkStart w:id="2" w:name="bmkHeaderPrimaryDoc"/>
        <w:p w:rsidR="005D5CB3" w:rsidRDefault="005D5CB3" w:rsidP="005D5CB3">
          <w:pPr>
            <w:pStyle w:val="AONormal8LBold"/>
          </w:pPr>
          <w:r>
            <w:fldChar w:fldCharType="begin"/>
          </w:r>
          <w:r>
            <w:instrText xml:space="preserve"> DOCPROPERTY  cpHeaderText </w:instrText>
          </w:r>
          <w:r>
            <w:fldChar w:fldCharType="separate"/>
          </w:r>
          <w:r w:rsidR="00027983">
            <w:t xml:space="preserve"> </w:t>
          </w:r>
          <w:r>
            <w:fldChar w:fldCharType="end"/>
          </w:r>
        </w:p>
      </w:tc>
    </w:tr>
    <w:bookmarkEnd w:id="2"/>
  </w:tbl>
  <w:p w:rsidR="005D5CB3" w:rsidRDefault="005D5CB3" w:rsidP="005D5CB3">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nsid w:val="05FB13DF"/>
    <w:multiLevelType w:val="multilevel"/>
    <w:tmpl w:val="2F6E1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4">
    <w:nsid w:val="1EBA0B9B"/>
    <w:multiLevelType w:val="multilevel"/>
    <w:tmpl w:val="B7224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11074F9"/>
    <w:multiLevelType w:val="multilevel"/>
    <w:tmpl w:val="8DBE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7">
    <w:nsid w:val="37F97AA8"/>
    <w:multiLevelType w:val="multilevel"/>
    <w:tmpl w:val="82F0AC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91D542D"/>
    <w:multiLevelType w:val="multilevel"/>
    <w:tmpl w:val="CEA2CDB4"/>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nsid w:val="3E3068AE"/>
    <w:multiLevelType w:val="multilevel"/>
    <w:tmpl w:val="31BC5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F100938"/>
    <w:multiLevelType w:val="multilevel"/>
    <w:tmpl w:val="C864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457D04"/>
    <w:multiLevelType w:val="multilevel"/>
    <w:tmpl w:val="C360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15">
    <w:nsid w:val="47B238E7"/>
    <w:multiLevelType w:val="multilevel"/>
    <w:tmpl w:val="7A9658F2"/>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nsid w:val="498365C2"/>
    <w:multiLevelType w:val="multilevel"/>
    <w:tmpl w:val="07106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8">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9">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nsid w:val="511C70D7"/>
    <w:multiLevelType w:val="multilevel"/>
    <w:tmpl w:val="4E2EC262"/>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1">
    <w:nsid w:val="51B30653"/>
    <w:multiLevelType w:val="multilevel"/>
    <w:tmpl w:val="8092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456FBB"/>
    <w:multiLevelType w:val="multilevel"/>
    <w:tmpl w:val="3166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815977"/>
    <w:multiLevelType w:val="multilevel"/>
    <w:tmpl w:val="04BA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5">
    <w:nsid w:val="6956584C"/>
    <w:multiLevelType w:val="multilevel"/>
    <w:tmpl w:val="262A9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AA227D0"/>
    <w:multiLevelType w:val="multilevel"/>
    <w:tmpl w:val="6172C5CA"/>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7">
    <w:nsid w:val="6B0D1BA6"/>
    <w:multiLevelType w:val="multilevel"/>
    <w:tmpl w:val="CC4A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29">
    <w:nsid w:val="6F4748FB"/>
    <w:multiLevelType w:val="multilevel"/>
    <w:tmpl w:val="17A80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31">
    <w:nsid w:val="6FEA4016"/>
    <w:multiLevelType w:val="multilevel"/>
    <w:tmpl w:val="B434C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28C2766"/>
    <w:multiLevelType w:val="multilevel"/>
    <w:tmpl w:val="5BEE5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nsid w:val="7BC7622D"/>
    <w:multiLevelType w:val="multilevel"/>
    <w:tmpl w:val="48F0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F4E2533"/>
    <w:multiLevelType w:val="multilevel"/>
    <w:tmpl w:val="791A5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8"/>
  </w:num>
  <w:num w:numId="3">
    <w:abstractNumId w:val="24"/>
  </w:num>
  <w:num w:numId="4">
    <w:abstractNumId w:val="33"/>
  </w:num>
  <w:num w:numId="5">
    <w:abstractNumId w:val="10"/>
  </w:num>
  <w:num w:numId="6">
    <w:abstractNumId w:val="15"/>
  </w:num>
  <w:num w:numId="7">
    <w:abstractNumId w:val="28"/>
  </w:num>
  <w:num w:numId="8">
    <w:abstractNumId w:val="0"/>
  </w:num>
  <w:num w:numId="9">
    <w:abstractNumId w:val="17"/>
  </w:num>
  <w:num w:numId="10">
    <w:abstractNumId w:val="9"/>
  </w:num>
  <w:num w:numId="11">
    <w:abstractNumId w:val="6"/>
  </w:num>
  <w:num w:numId="12">
    <w:abstractNumId w:val="3"/>
  </w:num>
  <w:num w:numId="13">
    <w:abstractNumId w:val="30"/>
  </w:num>
  <w:num w:numId="14">
    <w:abstractNumId w:val="14"/>
  </w:num>
  <w:num w:numId="15">
    <w:abstractNumId w:val="20"/>
  </w:num>
  <w:num w:numId="16">
    <w:abstractNumId w:val="8"/>
  </w:num>
  <w:num w:numId="17">
    <w:abstractNumId w:val="26"/>
  </w:num>
  <w:num w:numId="18">
    <w:abstractNumId w:val="2"/>
  </w:num>
  <w:num w:numId="19">
    <w:abstractNumId w:val="21"/>
  </w:num>
  <w:num w:numId="20">
    <w:abstractNumId w:val="13"/>
  </w:num>
  <w:num w:numId="21">
    <w:abstractNumId w:val="22"/>
  </w:num>
  <w:num w:numId="22">
    <w:abstractNumId w:val="12"/>
  </w:num>
  <w:num w:numId="23">
    <w:abstractNumId w:val="34"/>
  </w:num>
  <w:num w:numId="24">
    <w:abstractNumId w:val="5"/>
  </w:num>
  <w:num w:numId="25">
    <w:abstractNumId w:val="23"/>
  </w:num>
  <w:num w:numId="26">
    <w:abstractNumId w:val="27"/>
  </w:num>
  <w:num w:numId="27">
    <w:abstractNumId w:val="1"/>
  </w:num>
  <w:num w:numId="28">
    <w:abstractNumId w:val="11"/>
  </w:num>
  <w:num w:numId="29">
    <w:abstractNumId w:val="7"/>
  </w:num>
  <w:num w:numId="30">
    <w:abstractNumId w:val="31"/>
  </w:num>
  <w:num w:numId="31">
    <w:abstractNumId w:val="16"/>
  </w:num>
  <w:num w:numId="32">
    <w:abstractNumId w:val="29"/>
  </w:num>
  <w:num w:numId="33">
    <w:abstractNumId w:val="32"/>
  </w:num>
  <w:num w:numId="34">
    <w:abstractNumId w:val="35"/>
  </w:num>
  <w:num w:numId="35">
    <w:abstractNumId w:val="4"/>
  </w:num>
  <w:num w:numId="3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C5"/>
    <w:rsid w:val="000002DF"/>
    <w:rsid w:val="00003306"/>
    <w:rsid w:val="00004116"/>
    <w:rsid w:val="00007D55"/>
    <w:rsid w:val="00012139"/>
    <w:rsid w:val="000139EF"/>
    <w:rsid w:val="00017114"/>
    <w:rsid w:val="00027983"/>
    <w:rsid w:val="00030115"/>
    <w:rsid w:val="00035669"/>
    <w:rsid w:val="00035DF9"/>
    <w:rsid w:val="000379B5"/>
    <w:rsid w:val="00042B55"/>
    <w:rsid w:val="00043F9C"/>
    <w:rsid w:val="0004741C"/>
    <w:rsid w:val="000520A8"/>
    <w:rsid w:val="00070B55"/>
    <w:rsid w:val="00071AE7"/>
    <w:rsid w:val="00077CAB"/>
    <w:rsid w:val="00083181"/>
    <w:rsid w:val="0008320A"/>
    <w:rsid w:val="0008439E"/>
    <w:rsid w:val="0008615E"/>
    <w:rsid w:val="00086624"/>
    <w:rsid w:val="000A2D88"/>
    <w:rsid w:val="000B029E"/>
    <w:rsid w:val="000B6CF0"/>
    <w:rsid w:val="000D0702"/>
    <w:rsid w:val="001013D3"/>
    <w:rsid w:val="00117E4B"/>
    <w:rsid w:val="00121297"/>
    <w:rsid w:val="001314EF"/>
    <w:rsid w:val="00141816"/>
    <w:rsid w:val="00150EDA"/>
    <w:rsid w:val="00153A64"/>
    <w:rsid w:val="00167C44"/>
    <w:rsid w:val="0017212D"/>
    <w:rsid w:val="001837F3"/>
    <w:rsid w:val="00183EB6"/>
    <w:rsid w:val="0019101D"/>
    <w:rsid w:val="0019181D"/>
    <w:rsid w:val="0019463B"/>
    <w:rsid w:val="001B0B77"/>
    <w:rsid w:val="001B676F"/>
    <w:rsid w:val="001D26AE"/>
    <w:rsid w:val="001D3F98"/>
    <w:rsid w:val="001E4713"/>
    <w:rsid w:val="001E7139"/>
    <w:rsid w:val="001E79DF"/>
    <w:rsid w:val="001F0246"/>
    <w:rsid w:val="002008F4"/>
    <w:rsid w:val="00200DF7"/>
    <w:rsid w:val="00201B2D"/>
    <w:rsid w:val="00207F8C"/>
    <w:rsid w:val="00217827"/>
    <w:rsid w:val="00220D07"/>
    <w:rsid w:val="002228CD"/>
    <w:rsid w:val="002303DF"/>
    <w:rsid w:val="002418E2"/>
    <w:rsid w:val="00244F4C"/>
    <w:rsid w:val="002461D1"/>
    <w:rsid w:val="00246F02"/>
    <w:rsid w:val="00251D49"/>
    <w:rsid w:val="00261981"/>
    <w:rsid w:val="002706CE"/>
    <w:rsid w:val="0027639B"/>
    <w:rsid w:val="00276B6B"/>
    <w:rsid w:val="002803B2"/>
    <w:rsid w:val="00281DE0"/>
    <w:rsid w:val="0028361A"/>
    <w:rsid w:val="00291BE4"/>
    <w:rsid w:val="002923B8"/>
    <w:rsid w:val="00295513"/>
    <w:rsid w:val="002A01D2"/>
    <w:rsid w:val="002A6C57"/>
    <w:rsid w:val="002B5DB4"/>
    <w:rsid w:val="002B692C"/>
    <w:rsid w:val="002C58B5"/>
    <w:rsid w:val="002D527F"/>
    <w:rsid w:val="002D60A6"/>
    <w:rsid w:val="002E0DDE"/>
    <w:rsid w:val="002E132D"/>
    <w:rsid w:val="002E5889"/>
    <w:rsid w:val="002E7AA0"/>
    <w:rsid w:val="00302184"/>
    <w:rsid w:val="00303648"/>
    <w:rsid w:val="00313169"/>
    <w:rsid w:val="00331430"/>
    <w:rsid w:val="00334C0A"/>
    <w:rsid w:val="00336BD7"/>
    <w:rsid w:val="00337C0C"/>
    <w:rsid w:val="00341939"/>
    <w:rsid w:val="00355585"/>
    <w:rsid w:val="00355C13"/>
    <w:rsid w:val="00370487"/>
    <w:rsid w:val="00372138"/>
    <w:rsid w:val="003757A6"/>
    <w:rsid w:val="00375A6D"/>
    <w:rsid w:val="00375E81"/>
    <w:rsid w:val="003813A3"/>
    <w:rsid w:val="00395350"/>
    <w:rsid w:val="00395A3F"/>
    <w:rsid w:val="003A65E0"/>
    <w:rsid w:val="003A7DC4"/>
    <w:rsid w:val="003B3CA4"/>
    <w:rsid w:val="003D15F6"/>
    <w:rsid w:val="003D17E1"/>
    <w:rsid w:val="003E1184"/>
    <w:rsid w:val="003E78F0"/>
    <w:rsid w:val="003F441C"/>
    <w:rsid w:val="003F48C6"/>
    <w:rsid w:val="00403553"/>
    <w:rsid w:val="0040594A"/>
    <w:rsid w:val="00422BB2"/>
    <w:rsid w:val="004277E7"/>
    <w:rsid w:val="004302A5"/>
    <w:rsid w:val="00430CDE"/>
    <w:rsid w:val="00432A6C"/>
    <w:rsid w:val="00440C96"/>
    <w:rsid w:val="004428DE"/>
    <w:rsid w:val="00446AC8"/>
    <w:rsid w:val="00446D04"/>
    <w:rsid w:val="00454BE6"/>
    <w:rsid w:val="0045533C"/>
    <w:rsid w:val="00463113"/>
    <w:rsid w:val="004667D2"/>
    <w:rsid w:val="0047162F"/>
    <w:rsid w:val="004746CE"/>
    <w:rsid w:val="00490A35"/>
    <w:rsid w:val="004A0A94"/>
    <w:rsid w:val="004A3140"/>
    <w:rsid w:val="004A471E"/>
    <w:rsid w:val="004A6489"/>
    <w:rsid w:val="004A6B3D"/>
    <w:rsid w:val="004B39A3"/>
    <w:rsid w:val="004B4908"/>
    <w:rsid w:val="004C27BE"/>
    <w:rsid w:val="004C2917"/>
    <w:rsid w:val="004C587E"/>
    <w:rsid w:val="004D5320"/>
    <w:rsid w:val="004D58C5"/>
    <w:rsid w:val="004D6B26"/>
    <w:rsid w:val="004E55A6"/>
    <w:rsid w:val="004E5D75"/>
    <w:rsid w:val="004E775D"/>
    <w:rsid w:val="004F0A54"/>
    <w:rsid w:val="004F35B7"/>
    <w:rsid w:val="004F4B0A"/>
    <w:rsid w:val="00501C25"/>
    <w:rsid w:val="00516534"/>
    <w:rsid w:val="00520AF2"/>
    <w:rsid w:val="00522B3A"/>
    <w:rsid w:val="005323D6"/>
    <w:rsid w:val="00537C92"/>
    <w:rsid w:val="00546ACE"/>
    <w:rsid w:val="005528D9"/>
    <w:rsid w:val="00556701"/>
    <w:rsid w:val="00556CC7"/>
    <w:rsid w:val="00560089"/>
    <w:rsid w:val="00580459"/>
    <w:rsid w:val="00594AA4"/>
    <w:rsid w:val="00595F48"/>
    <w:rsid w:val="005A3C16"/>
    <w:rsid w:val="005B20CC"/>
    <w:rsid w:val="005C1C7D"/>
    <w:rsid w:val="005C595A"/>
    <w:rsid w:val="005D16AE"/>
    <w:rsid w:val="005D16BF"/>
    <w:rsid w:val="005D5CB3"/>
    <w:rsid w:val="005E5E8C"/>
    <w:rsid w:val="005F3F0A"/>
    <w:rsid w:val="006052C2"/>
    <w:rsid w:val="006073B0"/>
    <w:rsid w:val="006216A2"/>
    <w:rsid w:val="00623CE4"/>
    <w:rsid w:val="00624BE1"/>
    <w:rsid w:val="00630AD0"/>
    <w:rsid w:val="006314D8"/>
    <w:rsid w:val="00631A92"/>
    <w:rsid w:val="00632997"/>
    <w:rsid w:val="00632F4A"/>
    <w:rsid w:val="00643107"/>
    <w:rsid w:val="00650784"/>
    <w:rsid w:val="00654429"/>
    <w:rsid w:val="00657F99"/>
    <w:rsid w:val="006637BD"/>
    <w:rsid w:val="00663C37"/>
    <w:rsid w:val="006701CD"/>
    <w:rsid w:val="0067229E"/>
    <w:rsid w:val="00676515"/>
    <w:rsid w:val="006852B1"/>
    <w:rsid w:val="0068599B"/>
    <w:rsid w:val="0069099B"/>
    <w:rsid w:val="00697AFD"/>
    <w:rsid w:val="006A5AA0"/>
    <w:rsid w:val="006B30E8"/>
    <w:rsid w:val="006C0C34"/>
    <w:rsid w:val="006C5A6D"/>
    <w:rsid w:val="006C6D54"/>
    <w:rsid w:val="006D0D17"/>
    <w:rsid w:val="006D4820"/>
    <w:rsid w:val="006F4DD9"/>
    <w:rsid w:val="00701F2D"/>
    <w:rsid w:val="00702450"/>
    <w:rsid w:val="00702FF4"/>
    <w:rsid w:val="00704ADA"/>
    <w:rsid w:val="007079BA"/>
    <w:rsid w:val="0071248A"/>
    <w:rsid w:val="00730573"/>
    <w:rsid w:val="00731339"/>
    <w:rsid w:val="00772C91"/>
    <w:rsid w:val="0079087C"/>
    <w:rsid w:val="00793BA8"/>
    <w:rsid w:val="007A1A73"/>
    <w:rsid w:val="007A60A1"/>
    <w:rsid w:val="007A7176"/>
    <w:rsid w:val="007C6399"/>
    <w:rsid w:val="007C63AF"/>
    <w:rsid w:val="007D0335"/>
    <w:rsid w:val="007D1565"/>
    <w:rsid w:val="007D2515"/>
    <w:rsid w:val="007D59D4"/>
    <w:rsid w:val="007D75EC"/>
    <w:rsid w:val="007F0D4A"/>
    <w:rsid w:val="007F36F0"/>
    <w:rsid w:val="007F5831"/>
    <w:rsid w:val="00815BEE"/>
    <w:rsid w:val="00816105"/>
    <w:rsid w:val="00822A1E"/>
    <w:rsid w:val="00823EE3"/>
    <w:rsid w:val="00824E03"/>
    <w:rsid w:val="00825984"/>
    <w:rsid w:val="008261EC"/>
    <w:rsid w:val="00827645"/>
    <w:rsid w:val="00836390"/>
    <w:rsid w:val="00850DAA"/>
    <w:rsid w:val="00855C21"/>
    <w:rsid w:val="00861FF2"/>
    <w:rsid w:val="008631B1"/>
    <w:rsid w:val="00864EBB"/>
    <w:rsid w:val="0087098F"/>
    <w:rsid w:val="00873848"/>
    <w:rsid w:val="00884DCC"/>
    <w:rsid w:val="008A0214"/>
    <w:rsid w:val="008A12BD"/>
    <w:rsid w:val="008A3181"/>
    <w:rsid w:val="008A6316"/>
    <w:rsid w:val="008B58C2"/>
    <w:rsid w:val="008B748C"/>
    <w:rsid w:val="008C041C"/>
    <w:rsid w:val="008C14D4"/>
    <w:rsid w:val="008D0ED3"/>
    <w:rsid w:val="008D1819"/>
    <w:rsid w:val="008D1957"/>
    <w:rsid w:val="008D380E"/>
    <w:rsid w:val="008D5A45"/>
    <w:rsid w:val="008E0A09"/>
    <w:rsid w:val="008F0F24"/>
    <w:rsid w:val="008F68D8"/>
    <w:rsid w:val="00900330"/>
    <w:rsid w:val="00900546"/>
    <w:rsid w:val="00910E8B"/>
    <w:rsid w:val="00911018"/>
    <w:rsid w:val="0091758E"/>
    <w:rsid w:val="00917F52"/>
    <w:rsid w:val="00920631"/>
    <w:rsid w:val="00930DF1"/>
    <w:rsid w:val="00933DC8"/>
    <w:rsid w:val="00940C0E"/>
    <w:rsid w:val="00960F52"/>
    <w:rsid w:val="00965776"/>
    <w:rsid w:val="00965D29"/>
    <w:rsid w:val="009738BC"/>
    <w:rsid w:val="00981805"/>
    <w:rsid w:val="00982A08"/>
    <w:rsid w:val="00984DA1"/>
    <w:rsid w:val="00990494"/>
    <w:rsid w:val="009967F3"/>
    <w:rsid w:val="009B5472"/>
    <w:rsid w:val="009B6939"/>
    <w:rsid w:val="009B6A8C"/>
    <w:rsid w:val="009C4756"/>
    <w:rsid w:val="009D0F0A"/>
    <w:rsid w:val="009D20EB"/>
    <w:rsid w:val="009D612B"/>
    <w:rsid w:val="009D69DF"/>
    <w:rsid w:val="009D72D3"/>
    <w:rsid w:val="009D7D7D"/>
    <w:rsid w:val="009E0C49"/>
    <w:rsid w:val="009F4754"/>
    <w:rsid w:val="009F74C7"/>
    <w:rsid w:val="00A04BC3"/>
    <w:rsid w:val="00A04BD2"/>
    <w:rsid w:val="00A10767"/>
    <w:rsid w:val="00A2423F"/>
    <w:rsid w:val="00A279B2"/>
    <w:rsid w:val="00A36443"/>
    <w:rsid w:val="00A42CED"/>
    <w:rsid w:val="00A51993"/>
    <w:rsid w:val="00A66C38"/>
    <w:rsid w:val="00A673C1"/>
    <w:rsid w:val="00A67C91"/>
    <w:rsid w:val="00A73C49"/>
    <w:rsid w:val="00A76A73"/>
    <w:rsid w:val="00A775FC"/>
    <w:rsid w:val="00A91E3B"/>
    <w:rsid w:val="00A933FC"/>
    <w:rsid w:val="00AA1155"/>
    <w:rsid w:val="00AA5A7F"/>
    <w:rsid w:val="00AC2F60"/>
    <w:rsid w:val="00AC6A32"/>
    <w:rsid w:val="00AC7D3A"/>
    <w:rsid w:val="00AE3A4B"/>
    <w:rsid w:val="00AE738D"/>
    <w:rsid w:val="00AF6D6C"/>
    <w:rsid w:val="00AF6FEF"/>
    <w:rsid w:val="00B03660"/>
    <w:rsid w:val="00B1321E"/>
    <w:rsid w:val="00B1374B"/>
    <w:rsid w:val="00B15851"/>
    <w:rsid w:val="00B175E7"/>
    <w:rsid w:val="00B42961"/>
    <w:rsid w:val="00B47069"/>
    <w:rsid w:val="00B57603"/>
    <w:rsid w:val="00B66C99"/>
    <w:rsid w:val="00B85821"/>
    <w:rsid w:val="00B926ED"/>
    <w:rsid w:val="00B93F61"/>
    <w:rsid w:val="00BA3F69"/>
    <w:rsid w:val="00BA6B05"/>
    <w:rsid w:val="00BB07C3"/>
    <w:rsid w:val="00BB6A8D"/>
    <w:rsid w:val="00BB7754"/>
    <w:rsid w:val="00BC0964"/>
    <w:rsid w:val="00BC3287"/>
    <w:rsid w:val="00BD16C8"/>
    <w:rsid w:val="00BD4E04"/>
    <w:rsid w:val="00BD6413"/>
    <w:rsid w:val="00BE2502"/>
    <w:rsid w:val="00BE435A"/>
    <w:rsid w:val="00BF1C21"/>
    <w:rsid w:val="00BF2D03"/>
    <w:rsid w:val="00BF2FD6"/>
    <w:rsid w:val="00BF4B53"/>
    <w:rsid w:val="00C077EC"/>
    <w:rsid w:val="00C10131"/>
    <w:rsid w:val="00C108F8"/>
    <w:rsid w:val="00C14A87"/>
    <w:rsid w:val="00C15146"/>
    <w:rsid w:val="00C214FB"/>
    <w:rsid w:val="00C2524B"/>
    <w:rsid w:val="00C271F6"/>
    <w:rsid w:val="00C27C6D"/>
    <w:rsid w:val="00C3402B"/>
    <w:rsid w:val="00C41121"/>
    <w:rsid w:val="00C44849"/>
    <w:rsid w:val="00C46506"/>
    <w:rsid w:val="00C5296D"/>
    <w:rsid w:val="00C61C6D"/>
    <w:rsid w:val="00C66410"/>
    <w:rsid w:val="00C6706D"/>
    <w:rsid w:val="00C71263"/>
    <w:rsid w:val="00C846BF"/>
    <w:rsid w:val="00C867F7"/>
    <w:rsid w:val="00C97048"/>
    <w:rsid w:val="00CA2C1F"/>
    <w:rsid w:val="00CA6867"/>
    <w:rsid w:val="00CB7C94"/>
    <w:rsid w:val="00CC19DE"/>
    <w:rsid w:val="00CC6A93"/>
    <w:rsid w:val="00CC7A84"/>
    <w:rsid w:val="00CD1BBF"/>
    <w:rsid w:val="00CD6EC8"/>
    <w:rsid w:val="00CE03B9"/>
    <w:rsid w:val="00CE1732"/>
    <w:rsid w:val="00CE2D0E"/>
    <w:rsid w:val="00CE6F1A"/>
    <w:rsid w:val="00CF36E9"/>
    <w:rsid w:val="00CF5536"/>
    <w:rsid w:val="00D00284"/>
    <w:rsid w:val="00D03DDB"/>
    <w:rsid w:val="00D25112"/>
    <w:rsid w:val="00D40752"/>
    <w:rsid w:val="00D47491"/>
    <w:rsid w:val="00D47B24"/>
    <w:rsid w:val="00D500F8"/>
    <w:rsid w:val="00D60A12"/>
    <w:rsid w:val="00D60C13"/>
    <w:rsid w:val="00D673EE"/>
    <w:rsid w:val="00D753F7"/>
    <w:rsid w:val="00D75C1E"/>
    <w:rsid w:val="00D77535"/>
    <w:rsid w:val="00D836DC"/>
    <w:rsid w:val="00D9277B"/>
    <w:rsid w:val="00D946A6"/>
    <w:rsid w:val="00D974F1"/>
    <w:rsid w:val="00D97C04"/>
    <w:rsid w:val="00DA297D"/>
    <w:rsid w:val="00DB0D13"/>
    <w:rsid w:val="00DB2117"/>
    <w:rsid w:val="00DB38CD"/>
    <w:rsid w:val="00DB4ACB"/>
    <w:rsid w:val="00DB6074"/>
    <w:rsid w:val="00DC0732"/>
    <w:rsid w:val="00DC6690"/>
    <w:rsid w:val="00DD277D"/>
    <w:rsid w:val="00DE4884"/>
    <w:rsid w:val="00DE722D"/>
    <w:rsid w:val="00DF27BC"/>
    <w:rsid w:val="00DF5BB3"/>
    <w:rsid w:val="00DF6985"/>
    <w:rsid w:val="00E05622"/>
    <w:rsid w:val="00E1246E"/>
    <w:rsid w:val="00E12838"/>
    <w:rsid w:val="00E13E73"/>
    <w:rsid w:val="00E17B23"/>
    <w:rsid w:val="00E30C20"/>
    <w:rsid w:val="00E35527"/>
    <w:rsid w:val="00E40DDE"/>
    <w:rsid w:val="00E502A2"/>
    <w:rsid w:val="00E50479"/>
    <w:rsid w:val="00E52438"/>
    <w:rsid w:val="00E6439F"/>
    <w:rsid w:val="00E64A2C"/>
    <w:rsid w:val="00E67184"/>
    <w:rsid w:val="00E717F8"/>
    <w:rsid w:val="00E72D84"/>
    <w:rsid w:val="00E73CB1"/>
    <w:rsid w:val="00E75516"/>
    <w:rsid w:val="00E76516"/>
    <w:rsid w:val="00E76586"/>
    <w:rsid w:val="00E77847"/>
    <w:rsid w:val="00E81B74"/>
    <w:rsid w:val="00E84A0F"/>
    <w:rsid w:val="00E904EB"/>
    <w:rsid w:val="00E9172D"/>
    <w:rsid w:val="00E93B4F"/>
    <w:rsid w:val="00E97ACC"/>
    <w:rsid w:val="00EA162A"/>
    <w:rsid w:val="00EA49A7"/>
    <w:rsid w:val="00EA5A2B"/>
    <w:rsid w:val="00EB07E2"/>
    <w:rsid w:val="00EC3513"/>
    <w:rsid w:val="00ED1E76"/>
    <w:rsid w:val="00EE4EE6"/>
    <w:rsid w:val="00EE6FF7"/>
    <w:rsid w:val="00EF1683"/>
    <w:rsid w:val="00EF4C64"/>
    <w:rsid w:val="00F01CD0"/>
    <w:rsid w:val="00F01FE7"/>
    <w:rsid w:val="00F12BAD"/>
    <w:rsid w:val="00F33CB9"/>
    <w:rsid w:val="00F448C8"/>
    <w:rsid w:val="00F51021"/>
    <w:rsid w:val="00F53488"/>
    <w:rsid w:val="00F53B14"/>
    <w:rsid w:val="00F553A4"/>
    <w:rsid w:val="00F647A7"/>
    <w:rsid w:val="00F70721"/>
    <w:rsid w:val="00F71384"/>
    <w:rsid w:val="00F76E19"/>
    <w:rsid w:val="00F773AD"/>
    <w:rsid w:val="00F81513"/>
    <w:rsid w:val="00F87998"/>
    <w:rsid w:val="00F90A9B"/>
    <w:rsid w:val="00F91739"/>
    <w:rsid w:val="00F93ECA"/>
    <w:rsid w:val="00F96AE4"/>
    <w:rsid w:val="00FB6D3C"/>
    <w:rsid w:val="00FC218B"/>
    <w:rsid w:val="00FD091A"/>
    <w:rsid w:val="00FD4C5E"/>
    <w:rsid w:val="00FE1135"/>
    <w:rsid w:val="00FE2C14"/>
    <w:rsid w:val="00FE4559"/>
    <w:rsid w:val="00FE460A"/>
    <w:rsid w:val="00FE6646"/>
    <w:rsid w:val="00FE6F13"/>
    <w:rsid w:val="00FE74DA"/>
    <w:rsid w:val="00FF0980"/>
    <w:rsid w:val="00FF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49"/>
    <w:pPr>
      <w:spacing w:line="240" w:lineRule="auto"/>
      <w:jc w:val="both"/>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jc w:val="left"/>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jc w:val="left"/>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jc w:val="left"/>
    </w:pPr>
    <w:rPr>
      <w:rFonts w:eastAsia="Times New Roman"/>
      <w:szCs w:val="24"/>
    </w:rPr>
  </w:style>
  <w:style w:type="paragraph" w:styleId="EnvelopeReturn">
    <w:name w:val="envelope return"/>
    <w:basedOn w:val="Normal"/>
    <w:uiPriority w:val="99"/>
    <w:semiHidden/>
    <w:unhideWhenUsed/>
    <w:rsid w:val="001E7139"/>
    <w:pPr>
      <w:jc w:val="left"/>
    </w:pPr>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2">
    <w:name w:val="SubHeading2"/>
    <w:basedOn w:val="Normal"/>
    <w:qFormat/>
    <w:rsid w:val="00C44849"/>
    <w:pPr>
      <w:spacing w:before="360"/>
    </w:pPr>
    <w:rPr>
      <w:i/>
      <w:color w:val="006595"/>
      <w:sz w:val="44"/>
      <w:szCs w:val="44"/>
    </w:rPr>
  </w:style>
  <w:style w:type="character" w:styleId="Hyperlink">
    <w:name w:val="Hyperlink"/>
    <w:basedOn w:val="DefaultParagraphFont"/>
    <w:uiPriority w:val="99"/>
    <w:unhideWhenUsed/>
    <w:rsid w:val="00C44849"/>
    <w:rPr>
      <w:color w:val="0000FF" w:themeColor="hyperlink"/>
      <w:u w:val="single"/>
    </w:rPr>
  </w:style>
  <w:style w:type="character" w:styleId="FollowedHyperlink">
    <w:name w:val="FollowedHyperlink"/>
    <w:basedOn w:val="DefaultParagraphFont"/>
    <w:uiPriority w:val="99"/>
    <w:semiHidden/>
    <w:unhideWhenUsed/>
    <w:rsid w:val="00200DF7"/>
    <w:rPr>
      <w:color w:val="800080" w:themeColor="followedHyperlink"/>
      <w:u w:val="single"/>
    </w:rPr>
  </w:style>
  <w:style w:type="paragraph" w:customStyle="1" w:styleId="Default">
    <w:name w:val="Default"/>
    <w:rsid w:val="00816105"/>
    <w:pPr>
      <w:autoSpaceDE w:val="0"/>
      <w:autoSpaceDN w:val="0"/>
      <w:adjustRightInd w:val="0"/>
      <w:spacing w:line="240" w:lineRule="auto"/>
    </w:pPr>
    <w:rPr>
      <w:rFonts w:ascii="Arial" w:hAnsi="Arial" w:cs="Arial"/>
      <w:color w:val="000000"/>
      <w:sz w:val="24"/>
      <w:szCs w:val="24"/>
    </w:rPr>
  </w:style>
  <w:style w:type="paragraph" w:styleId="NormalWeb">
    <w:name w:val="Normal (Web)"/>
    <w:basedOn w:val="Normal"/>
    <w:uiPriority w:val="99"/>
    <w:unhideWhenUsed/>
    <w:rsid w:val="007F0D4A"/>
    <w:pPr>
      <w:spacing w:before="100" w:beforeAutospacing="1" w:after="100" w:afterAutospacing="1"/>
      <w:jc w:val="left"/>
    </w:pPr>
    <w:rPr>
      <w:sz w:val="24"/>
      <w:szCs w:val="24"/>
      <w:lang w:eastAsia="en-GB"/>
    </w:rPr>
  </w:style>
  <w:style w:type="character" w:styleId="Strong">
    <w:name w:val="Strong"/>
    <w:basedOn w:val="DefaultParagraphFont"/>
    <w:uiPriority w:val="22"/>
    <w:qFormat/>
    <w:rsid w:val="007F0D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49"/>
    <w:pPr>
      <w:spacing w:line="240" w:lineRule="auto"/>
      <w:jc w:val="both"/>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jc w:val="left"/>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jc w:val="left"/>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jc w:val="left"/>
    </w:pPr>
    <w:rPr>
      <w:rFonts w:eastAsia="Times New Roman"/>
      <w:szCs w:val="24"/>
    </w:rPr>
  </w:style>
  <w:style w:type="paragraph" w:styleId="EnvelopeReturn">
    <w:name w:val="envelope return"/>
    <w:basedOn w:val="Normal"/>
    <w:uiPriority w:val="99"/>
    <w:semiHidden/>
    <w:unhideWhenUsed/>
    <w:rsid w:val="001E7139"/>
    <w:pPr>
      <w:jc w:val="left"/>
    </w:pPr>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2">
    <w:name w:val="SubHeading2"/>
    <w:basedOn w:val="Normal"/>
    <w:qFormat/>
    <w:rsid w:val="00C44849"/>
    <w:pPr>
      <w:spacing w:before="360"/>
    </w:pPr>
    <w:rPr>
      <w:i/>
      <w:color w:val="006595"/>
      <w:sz w:val="44"/>
      <w:szCs w:val="44"/>
    </w:rPr>
  </w:style>
  <w:style w:type="character" w:styleId="Hyperlink">
    <w:name w:val="Hyperlink"/>
    <w:basedOn w:val="DefaultParagraphFont"/>
    <w:uiPriority w:val="99"/>
    <w:unhideWhenUsed/>
    <w:rsid w:val="00C44849"/>
    <w:rPr>
      <w:color w:val="0000FF" w:themeColor="hyperlink"/>
      <w:u w:val="single"/>
    </w:rPr>
  </w:style>
  <w:style w:type="character" w:styleId="FollowedHyperlink">
    <w:name w:val="FollowedHyperlink"/>
    <w:basedOn w:val="DefaultParagraphFont"/>
    <w:uiPriority w:val="99"/>
    <w:semiHidden/>
    <w:unhideWhenUsed/>
    <w:rsid w:val="00200DF7"/>
    <w:rPr>
      <w:color w:val="800080" w:themeColor="followedHyperlink"/>
      <w:u w:val="single"/>
    </w:rPr>
  </w:style>
  <w:style w:type="paragraph" w:customStyle="1" w:styleId="Default">
    <w:name w:val="Default"/>
    <w:rsid w:val="00816105"/>
    <w:pPr>
      <w:autoSpaceDE w:val="0"/>
      <w:autoSpaceDN w:val="0"/>
      <w:adjustRightInd w:val="0"/>
      <w:spacing w:line="240" w:lineRule="auto"/>
    </w:pPr>
    <w:rPr>
      <w:rFonts w:ascii="Arial" w:hAnsi="Arial" w:cs="Arial"/>
      <w:color w:val="000000"/>
      <w:sz w:val="24"/>
      <w:szCs w:val="24"/>
    </w:rPr>
  </w:style>
  <w:style w:type="paragraph" w:styleId="NormalWeb">
    <w:name w:val="Normal (Web)"/>
    <w:basedOn w:val="Normal"/>
    <w:uiPriority w:val="99"/>
    <w:unhideWhenUsed/>
    <w:rsid w:val="007F0D4A"/>
    <w:pPr>
      <w:spacing w:before="100" w:beforeAutospacing="1" w:after="100" w:afterAutospacing="1"/>
      <w:jc w:val="left"/>
    </w:pPr>
    <w:rPr>
      <w:sz w:val="24"/>
      <w:szCs w:val="24"/>
      <w:lang w:eastAsia="en-GB"/>
    </w:rPr>
  </w:style>
  <w:style w:type="character" w:styleId="Strong">
    <w:name w:val="Strong"/>
    <w:basedOn w:val="DefaultParagraphFont"/>
    <w:uiPriority w:val="22"/>
    <w:qFormat/>
    <w:rsid w:val="007F0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9590">
      <w:bodyDiv w:val="1"/>
      <w:marLeft w:val="0"/>
      <w:marRight w:val="0"/>
      <w:marTop w:val="0"/>
      <w:marBottom w:val="0"/>
      <w:divBdr>
        <w:top w:val="none" w:sz="0" w:space="0" w:color="auto"/>
        <w:left w:val="none" w:sz="0" w:space="0" w:color="auto"/>
        <w:bottom w:val="none" w:sz="0" w:space="0" w:color="auto"/>
        <w:right w:val="none" w:sz="0" w:space="0" w:color="auto"/>
      </w:divBdr>
    </w:div>
    <w:div w:id="37239316">
      <w:bodyDiv w:val="1"/>
      <w:marLeft w:val="0"/>
      <w:marRight w:val="0"/>
      <w:marTop w:val="0"/>
      <w:marBottom w:val="0"/>
      <w:divBdr>
        <w:top w:val="none" w:sz="0" w:space="0" w:color="auto"/>
        <w:left w:val="none" w:sz="0" w:space="0" w:color="auto"/>
        <w:bottom w:val="none" w:sz="0" w:space="0" w:color="auto"/>
        <w:right w:val="none" w:sz="0" w:space="0" w:color="auto"/>
      </w:divBdr>
    </w:div>
    <w:div w:id="92625997">
      <w:bodyDiv w:val="1"/>
      <w:marLeft w:val="0"/>
      <w:marRight w:val="0"/>
      <w:marTop w:val="0"/>
      <w:marBottom w:val="0"/>
      <w:divBdr>
        <w:top w:val="none" w:sz="0" w:space="0" w:color="auto"/>
        <w:left w:val="none" w:sz="0" w:space="0" w:color="auto"/>
        <w:bottom w:val="none" w:sz="0" w:space="0" w:color="auto"/>
        <w:right w:val="none" w:sz="0" w:space="0" w:color="auto"/>
      </w:divBdr>
    </w:div>
    <w:div w:id="94862199">
      <w:bodyDiv w:val="1"/>
      <w:marLeft w:val="0"/>
      <w:marRight w:val="0"/>
      <w:marTop w:val="0"/>
      <w:marBottom w:val="0"/>
      <w:divBdr>
        <w:top w:val="none" w:sz="0" w:space="0" w:color="auto"/>
        <w:left w:val="none" w:sz="0" w:space="0" w:color="auto"/>
        <w:bottom w:val="none" w:sz="0" w:space="0" w:color="auto"/>
        <w:right w:val="none" w:sz="0" w:space="0" w:color="auto"/>
      </w:divBdr>
    </w:div>
    <w:div w:id="117721115">
      <w:bodyDiv w:val="1"/>
      <w:marLeft w:val="0"/>
      <w:marRight w:val="0"/>
      <w:marTop w:val="0"/>
      <w:marBottom w:val="0"/>
      <w:divBdr>
        <w:top w:val="none" w:sz="0" w:space="0" w:color="auto"/>
        <w:left w:val="none" w:sz="0" w:space="0" w:color="auto"/>
        <w:bottom w:val="none" w:sz="0" w:space="0" w:color="auto"/>
        <w:right w:val="none" w:sz="0" w:space="0" w:color="auto"/>
      </w:divBdr>
    </w:div>
    <w:div w:id="126749407">
      <w:bodyDiv w:val="1"/>
      <w:marLeft w:val="0"/>
      <w:marRight w:val="0"/>
      <w:marTop w:val="0"/>
      <w:marBottom w:val="0"/>
      <w:divBdr>
        <w:top w:val="none" w:sz="0" w:space="0" w:color="auto"/>
        <w:left w:val="none" w:sz="0" w:space="0" w:color="auto"/>
        <w:bottom w:val="none" w:sz="0" w:space="0" w:color="auto"/>
        <w:right w:val="none" w:sz="0" w:space="0" w:color="auto"/>
      </w:divBdr>
    </w:div>
    <w:div w:id="138814622">
      <w:bodyDiv w:val="1"/>
      <w:marLeft w:val="0"/>
      <w:marRight w:val="0"/>
      <w:marTop w:val="0"/>
      <w:marBottom w:val="0"/>
      <w:divBdr>
        <w:top w:val="none" w:sz="0" w:space="0" w:color="auto"/>
        <w:left w:val="none" w:sz="0" w:space="0" w:color="auto"/>
        <w:bottom w:val="none" w:sz="0" w:space="0" w:color="auto"/>
        <w:right w:val="none" w:sz="0" w:space="0" w:color="auto"/>
      </w:divBdr>
    </w:div>
    <w:div w:id="146437490">
      <w:bodyDiv w:val="1"/>
      <w:marLeft w:val="0"/>
      <w:marRight w:val="0"/>
      <w:marTop w:val="0"/>
      <w:marBottom w:val="0"/>
      <w:divBdr>
        <w:top w:val="none" w:sz="0" w:space="0" w:color="auto"/>
        <w:left w:val="none" w:sz="0" w:space="0" w:color="auto"/>
        <w:bottom w:val="none" w:sz="0" w:space="0" w:color="auto"/>
        <w:right w:val="none" w:sz="0" w:space="0" w:color="auto"/>
      </w:divBdr>
    </w:div>
    <w:div w:id="168059780">
      <w:bodyDiv w:val="1"/>
      <w:marLeft w:val="0"/>
      <w:marRight w:val="0"/>
      <w:marTop w:val="0"/>
      <w:marBottom w:val="0"/>
      <w:divBdr>
        <w:top w:val="none" w:sz="0" w:space="0" w:color="auto"/>
        <w:left w:val="none" w:sz="0" w:space="0" w:color="auto"/>
        <w:bottom w:val="none" w:sz="0" w:space="0" w:color="auto"/>
        <w:right w:val="none" w:sz="0" w:space="0" w:color="auto"/>
      </w:divBdr>
    </w:div>
    <w:div w:id="188568125">
      <w:bodyDiv w:val="1"/>
      <w:marLeft w:val="0"/>
      <w:marRight w:val="0"/>
      <w:marTop w:val="0"/>
      <w:marBottom w:val="0"/>
      <w:divBdr>
        <w:top w:val="none" w:sz="0" w:space="0" w:color="auto"/>
        <w:left w:val="none" w:sz="0" w:space="0" w:color="auto"/>
        <w:bottom w:val="none" w:sz="0" w:space="0" w:color="auto"/>
        <w:right w:val="none" w:sz="0" w:space="0" w:color="auto"/>
      </w:divBdr>
    </w:div>
    <w:div w:id="197132588">
      <w:bodyDiv w:val="1"/>
      <w:marLeft w:val="0"/>
      <w:marRight w:val="0"/>
      <w:marTop w:val="0"/>
      <w:marBottom w:val="0"/>
      <w:divBdr>
        <w:top w:val="none" w:sz="0" w:space="0" w:color="auto"/>
        <w:left w:val="none" w:sz="0" w:space="0" w:color="auto"/>
        <w:bottom w:val="none" w:sz="0" w:space="0" w:color="auto"/>
        <w:right w:val="none" w:sz="0" w:space="0" w:color="auto"/>
      </w:divBdr>
    </w:div>
    <w:div w:id="342627708">
      <w:bodyDiv w:val="1"/>
      <w:marLeft w:val="0"/>
      <w:marRight w:val="0"/>
      <w:marTop w:val="0"/>
      <w:marBottom w:val="0"/>
      <w:divBdr>
        <w:top w:val="none" w:sz="0" w:space="0" w:color="auto"/>
        <w:left w:val="none" w:sz="0" w:space="0" w:color="auto"/>
        <w:bottom w:val="none" w:sz="0" w:space="0" w:color="auto"/>
        <w:right w:val="none" w:sz="0" w:space="0" w:color="auto"/>
      </w:divBdr>
    </w:div>
    <w:div w:id="348290925">
      <w:bodyDiv w:val="1"/>
      <w:marLeft w:val="0"/>
      <w:marRight w:val="0"/>
      <w:marTop w:val="0"/>
      <w:marBottom w:val="0"/>
      <w:divBdr>
        <w:top w:val="none" w:sz="0" w:space="0" w:color="auto"/>
        <w:left w:val="none" w:sz="0" w:space="0" w:color="auto"/>
        <w:bottom w:val="none" w:sz="0" w:space="0" w:color="auto"/>
        <w:right w:val="none" w:sz="0" w:space="0" w:color="auto"/>
      </w:divBdr>
    </w:div>
    <w:div w:id="350492235">
      <w:bodyDiv w:val="1"/>
      <w:marLeft w:val="0"/>
      <w:marRight w:val="0"/>
      <w:marTop w:val="0"/>
      <w:marBottom w:val="0"/>
      <w:divBdr>
        <w:top w:val="none" w:sz="0" w:space="0" w:color="auto"/>
        <w:left w:val="none" w:sz="0" w:space="0" w:color="auto"/>
        <w:bottom w:val="none" w:sz="0" w:space="0" w:color="auto"/>
        <w:right w:val="none" w:sz="0" w:space="0" w:color="auto"/>
      </w:divBdr>
    </w:div>
    <w:div w:id="386299869">
      <w:bodyDiv w:val="1"/>
      <w:marLeft w:val="0"/>
      <w:marRight w:val="0"/>
      <w:marTop w:val="0"/>
      <w:marBottom w:val="0"/>
      <w:divBdr>
        <w:top w:val="none" w:sz="0" w:space="0" w:color="auto"/>
        <w:left w:val="none" w:sz="0" w:space="0" w:color="auto"/>
        <w:bottom w:val="none" w:sz="0" w:space="0" w:color="auto"/>
        <w:right w:val="none" w:sz="0" w:space="0" w:color="auto"/>
      </w:divBdr>
    </w:div>
    <w:div w:id="417556013">
      <w:bodyDiv w:val="1"/>
      <w:marLeft w:val="0"/>
      <w:marRight w:val="0"/>
      <w:marTop w:val="0"/>
      <w:marBottom w:val="0"/>
      <w:divBdr>
        <w:top w:val="none" w:sz="0" w:space="0" w:color="auto"/>
        <w:left w:val="none" w:sz="0" w:space="0" w:color="auto"/>
        <w:bottom w:val="none" w:sz="0" w:space="0" w:color="auto"/>
        <w:right w:val="none" w:sz="0" w:space="0" w:color="auto"/>
      </w:divBdr>
    </w:div>
    <w:div w:id="456681454">
      <w:bodyDiv w:val="1"/>
      <w:marLeft w:val="0"/>
      <w:marRight w:val="0"/>
      <w:marTop w:val="0"/>
      <w:marBottom w:val="0"/>
      <w:divBdr>
        <w:top w:val="none" w:sz="0" w:space="0" w:color="auto"/>
        <w:left w:val="none" w:sz="0" w:space="0" w:color="auto"/>
        <w:bottom w:val="none" w:sz="0" w:space="0" w:color="auto"/>
        <w:right w:val="none" w:sz="0" w:space="0" w:color="auto"/>
      </w:divBdr>
    </w:div>
    <w:div w:id="478113743">
      <w:bodyDiv w:val="1"/>
      <w:marLeft w:val="0"/>
      <w:marRight w:val="0"/>
      <w:marTop w:val="0"/>
      <w:marBottom w:val="0"/>
      <w:divBdr>
        <w:top w:val="none" w:sz="0" w:space="0" w:color="auto"/>
        <w:left w:val="none" w:sz="0" w:space="0" w:color="auto"/>
        <w:bottom w:val="none" w:sz="0" w:space="0" w:color="auto"/>
        <w:right w:val="none" w:sz="0" w:space="0" w:color="auto"/>
      </w:divBdr>
    </w:div>
    <w:div w:id="484518563">
      <w:bodyDiv w:val="1"/>
      <w:marLeft w:val="0"/>
      <w:marRight w:val="0"/>
      <w:marTop w:val="0"/>
      <w:marBottom w:val="0"/>
      <w:divBdr>
        <w:top w:val="none" w:sz="0" w:space="0" w:color="auto"/>
        <w:left w:val="none" w:sz="0" w:space="0" w:color="auto"/>
        <w:bottom w:val="none" w:sz="0" w:space="0" w:color="auto"/>
        <w:right w:val="none" w:sz="0" w:space="0" w:color="auto"/>
      </w:divBdr>
    </w:div>
    <w:div w:id="554590183">
      <w:bodyDiv w:val="1"/>
      <w:marLeft w:val="0"/>
      <w:marRight w:val="0"/>
      <w:marTop w:val="0"/>
      <w:marBottom w:val="0"/>
      <w:divBdr>
        <w:top w:val="none" w:sz="0" w:space="0" w:color="auto"/>
        <w:left w:val="none" w:sz="0" w:space="0" w:color="auto"/>
        <w:bottom w:val="none" w:sz="0" w:space="0" w:color="auto"/>
        <w:right w:val="none" w:sz="0" w:space="0" w:color="auto"/>
      </w:divBdr>
    </w:div>
    <w:div w:id="578683509">
      <w:bodyDiv w:val="1"/>
      <w:marLeft w:val="0"/>
      <w:marRight w:val="0"/>
      <w:marTop w:val="0"/>
      <w:marBottom w:val="0"/>
      <w:divBdr>
        <w:top w:val="none" w:sz="0" w:space="0" w:color="auto"/>
        <w:left w:val="none" w:sz="0" w:space="0" w:color="auto"/>
        <w:bottom w:val="none" w:sz="0" w:space="0" w:color="auto"/>
        <w:right w:val="none" w:sz="0" w:space="0" w:color="auto"/>
      </w:divBdr>
    </w:div>
    <w:div w:id="605116283">
      <w:bodyDiv w:val="1"/>
      <w:marLeft w:val="0"/>
      <w:marRight w:val="0"/>
      <w:marTop w:val="0"/>
      <w:marBottom w:val="0"/>
      <w:divBdr>
        <w:top w:val="none" w:sz="0" w:space="0" w:color="auto"/>
        <w:left w:val="none" w:sz="0" w:space="0" w:color="auto"/>
        <w:bottom w:val="none" w:sz="0" w:space="0" w:color="auto"/>
        <w:right w:val="none" w:sz="0" w:space="0" w:color="auto"/>
      </w:divBdr>
    </w:div>
    <w:div w:id="641085300">
      <w:bodyDiv w:val="1"/>
      <w:marLeft w:val="0"/>
      <w:marRight w:val="0"/>
      <w:marTop w:val="0"/>
      <w:marBottom w:val="0"/>
      <w:divBdr>
        <w:top w:val="none" w:sz="0" w:space="0" w:color="auto"/>
        <w:left w:val="none" w:sz="0" w:space="0" w:color="auto"/>
        <w:bottom w:val="none" w:sz="0" w:space="0" w:color="auto"/>
        <w:right w:val="none" w:sz="0" w:space="0" w:color="auto"/>
      </w:divBdr>
    </w:div>
    <w:div w:id="651759472">
      <w:bodyDiv w:val="1"/>
      <w:marLeft w:val="0"/>
      <w:marRight w:val="0"/>
      <w:marTop w:val="0"/>
      <w:marBottom w:val="0"/>
      <w:divBdr>
        <w:top w:val="none" w:sz="0" w:space="0" w:color="auto"/>
        <w:left w:val="none" w:sz="0" w:space="0" w:color="auto"/>
        <w:bottom w:val="none" w:sz="0" w:space="0" w:color="auto"/>
        <w:right w:val="none" w:sz="0" w:space="0" w:color="auto"/>
      </w:divBdr>
    </w:div>
    <w:div w:id="660892045">
      <w:bodyDiv w:val="1"/>
      <w:marLeft w:val="0"/>
      <w:marRight w:val="0"/>
      <w:marTop w:val="0"/>
      <w:marBottom w:val="0"/>
      <w:divBdr>
        <w:top w:val="none" w:sz="0" w:space="0" w:color="auto"/>
        <w:left w:val="none" w:sz="0" w:space="0" w:color="auto"/>
        <w:bottom w:val="none" w:sz="0" w:space="0" w:color="auto"/>
        <w:right w:val="none" w:sz="0" w:space="0" w:color="auto"/>
      </w:divBdr>
    </w:div>
    <w:div w:id="664282297">
      <w:bodyDiv w:val="1"/>
      <w:marLeft w:val="0"/>
      <w:marRight w:val="0"/>
      <w:marTop w:val="0"/>
      <w:marBottom w:val="0"/>
      <w:divBdr>
        <w:top w:val="none" w:sz="0" w:space="0" w:color="auto"/>
        <w:left w:val="none" w:sz="0" w:space="0" w:color="auto"/>
        <w:bottom w:val="none" w:sz="0" w:space="0" w:color="auto"/>
        <w:right w:val="none" w:sz="0" w:space="0" w:color="auto"/>
      </w:divBdr>
    </w:div>
    <w:div w:id="675419726">
      <w:bodyDiv w:val="1"/>
      <w:marLeft w:val="0"/>
      <w:marRight w:val="0"/>
      <w:marTop w:val="0"/>
      <w:marBottom w:val="0"/>
      <w:divBdr>
        <w:top w:val="none" w:sz="0" w:space="0" w:color="auto"/>
        <w:left w:val="none" w:sz="0" w:space="0" w:color="auto"/>
        <w:bottom w:val="none" w:sz="0" w:space="0" w:color="auto"/>
        <w:right w:val="none" w:sz="0" w:space="0" w:color="auto"/>
      </w:divBdr>
    </w:div>
    <w:div w:id="700863033">
      <w:bodyDiv w:val="1"/>
      <w:marLeft w:val="0"/>
      <w:marRight w:val="0"/>
      <w:marTop w:val="0"/>
      <w:marBottom w:val="0"/>
      <w:divBdr>
        <w:top w:val="none" w:sz="0" w:space="0" w:color="auto"/>
        <w:left w:val="none" w:sz="0" w:space="0" w:color="auto"/>
        <w:bottom w:val="none" w:sz="0" w:space="0" w:color="auto"/>
        <w:right w:val="none" w:sz="0" w:space="0" w:color="auto"/>
      </w:divBdr>
    </w:div>
    <w:div w:id="702098351">
      <w:bodyDiv w:val="1"/>
      <w:marLeft w:val="0"/>
      <w:marRight w:val="0"/>
      <w:marTop w:val="0"/>
      <w:marBottom w:val="0"/>
      <w:divBdr>
        <w:top w:val="none" w:sz="0" w:space="0" w:color="auto"/>
        <w:left w:val="none" w:sz="0" w:space="0" w:color="auto"/>
        <w:bottom w:val="none" w:sz="0" w:space="0" w:color="auto"/>
        <w:right w:val="none" w:sz="0" w:space="0" w:color="auto"/>
      </w:divBdr>
    </w:div>
    <w:div w:id="719019503">
      <w:bodyDiv w:val="1"/>
      <w:marLeft w:val="0"/>
      <w:marRight w:val="0"/>
      <w:marTop w:val="0"/>
      <w:marBottom w:val="0"/>
      <w:divBdr>
        <w:top w:val="none" w:sz="0" w:space="0" w:color="auto"/>
        <w:left w:val="none" w:sz="0" w:space="0" w:color="auto"/>
        <w:bottom w:val="none" w:sz="0" w:space="0" w:color="auto"/>
        <w:right w:val="none" w:sz="0" w:space="0" w:color="auto"/>
      </w:divBdr>
    </w:div>
    <w:div w:id="753361061">
      <w:bodyDiv w:val="1"/>
      <w:marLeft w:val="0"/>
      <w:marRight w:val="0"/>
      <w:marTop w:val="0"/>
      <w:marBottom w:val="0"/>
      <w:divBdr>
        <w:top w:val="none" w:sz="0" w:space="0" w:color="auto"/>
        <w:left w:val="none" w:sz="0" w:space="0" w:color="auto"/>
        <w:bottom w:val="none" w:sz="0" w:space="0" w:color="auto"/>
        <w:right w:val="none" w:sz="0" w:space="0" w:color="auto"/>
      </w:divBdr>
    </w:div>
    <w:div w:id="764417711">
      <w:bodyDiv w:val="1"/>
      <w:marLeft w:val="0"/>
      <w:marRight w:val="0"/>
      <w:marTop w:val="0"/>
      <w:marBottom w:val="0"/>
      <w:divBdr>
        <w:top w:val="none" w:sz="0" w:space="0" w:color="auto"/>
        <w:left w:val="none" w:sz="0" w:space="0" w:color="auto"/>
        <w:bottom w:val="none" w:sz="0" w:space="0" w:color="auto"/>
        <w:right w:val="none" w:sz="0" w:space="0" w:color="auto"/>
      </w:divBdr>
    </w:div>
    <w:div w:id="771708126">
      <w:bodyDiv w:val="1"/>
      <w:marLeft w:val="0"/>
      <w:marRight w:val="0"/>
      <w:marTop w:val="0"/>
      <w:marBottom w:val="0"/>
      <w:divBdr>
        <w:top w:val="none" w:sz="0" w:space="0" w:color="auto"/>
        <w:left w:val="none" w:sz="0" w:space="0" w:color="auto"/>
        <w:bottom w:val="none" w:sz="0" w:space="0" w:color="auto"/>
        <w:right w:val="none" w:sz="0" w:space="0" w:color="auto"/>
      </w:divBdr>
    </w:div>
    <w:div w:id="800271050">
      <w:bodyDiv w:val="1"/>
      <w:marLeft w:val="0"/>
      <w:marRight w:val="0"/>
      <w:marTop w:val="0"/>
      <w:marBottom w:val="0"/>
      <w:divBdr>
        <w:top w:val="none" w:sz="0" w:space="0" w:color="auto"/>
        <w:left w:val="none" w:sz="0" w:space="0" w:color="auto"/>
        <w:bottom w:val="none" w:sz="0" w:space="0" w:color="auto"/>
        <w:right w:val="none" w:sz="0" w:space="0" w:color="auto"/>
      </w:divBdr>
    </w:div>
    <w:div w:id="814418703">
      <w:bodyDiv w:val="1"/>
      <w:marLeft w:val="0"/>
      <w:marRight w:val="0"/>
      <w:marTop w:val="0"/>
      <w:marBottom w:val="0"/>
      <w:divBdr>
        <w:top w:val="none" w:sz="0" w:space="0" w:color="auto"/>
        <w:left w:val="none" w:sz="0" w:space="0" w:color="auto"/>
        <w:bottom w:val="none" w:sz="0" w:space="0" w:color="auto"/>
        <w:right w:val="none" w:sz="0" w:space="0" w:color="auto"/>
      </w:divBdr>
    </w:div>
    <w:div w:id="823661796">
      <w:bodyDiv w:val="1"/>
      <w:marLeft w:val="0"/>
      <w:marRight w:val="0"/>
      <w:marTop w:val="0"/>
      <w:marBottom w:val="0"/>
      <w:divBdr>
        <w:top w:val="none" w:sz="0" w:space="0" w:color="auto"/>
        <w:left w:val="none" w:sz="0" w:space="0" w:color="auto"/>
        <w:bottom w:val="none" w:sz="0" w:space="0" w:color="auto"/>
        <w:right w:val="none" w:sz="0" w:space="0" w:color="auto"/>
      </w:divBdr>
    </w:div>
    <w:div w:id="833841766">
      <w:bodyDiv w:val="1"/>
      <w:marLeft w:val="0"/>
      <w:marRight w:val="0"/>
      <w:marTop w:val="0"/>
      <w:marBottom w:val="0"/>
      <w:divBdr>
        <w:top w:val="none" w:sz="0" w:space="0" w:color="auto"/>
        <w:left w:val="none" w:sz="0" w:space="0" w:color="auto"/>
        <w:bottom w:val="none" w:sz="0" w:space="0" w:color="auto"/>
        <w:right w:val="none" w:sz="0" w:space="0" w:color="auto"/>
      </w:divBdr>
    </w:div>
    <w:div w:id="860507700">
      <w:bodyDiv w:val="1"/>
      <w:marLeft w:val="0"/>
      <w:marRight w:val="0"/>
      <w:marTop w:val="0"/>
      <w:marBottom w:val="0"/>
      <w:divBdr>
        <w:top w:val="none" w:sz="0" w:space="0" w:color="auto"/>
        <w:left w:val="none" w:sz="0" w:space="0" w:color="auto"/>
        <w:bottom w:val="none" w:sz="0" w:space="0" w:color="auto"/>
        <w:right w:val="none" w:sz="0" w:space="0" w:color="auto"/>
      </w:divBdr>
    </w:div>
    <w:div w:id="876742343">
      <w:bodyDiv w:val="1"/>
      <w:marLeft w:val="0"/>
      <w:marRight w:val="0"/>
      <w:marTop w:val="0"/>
      <w:marBottom w:val="0"/>
      <w:divBdr>
        <w:top w:val="none" w:sz="0" w:space="0" w:color="auto"/>
        <w:left w:val="none" w:sz="0" w:space="0" w:color="auto"/>
        <w:bottom w:val="none" w:sz="0" w:space="0" w:color="auto"/>
        <w:right w:val="none" w:sz="0" w:space="0" w:color="auto"/>
      </w:divBdr>
    </w:div>
    <w:div w:id="882134684">
      <w:bodyDiv w:val="1"/>
      <w:marLeft w:val="0"/>
      <w:marRight w:val="0"/>
      <w:marTop w:val="0"/>
      <w:marBottom w:val="0"/>
      <w:divBdr>
        <w:top w:val="none" w:sz="0" w:space="0" w:color="auto"/>
        <w:left w:val="none" w:sz="0" w:space="0" w:color="auto"/>
        <w:bottom w:val="none" w:sz="0" w:space="0" w:color="auto"/>
        <w:right w:val="none" w:sz="0" w:space="0" w:color="auto"/>
      </w:divBdr>
    </w:div>
    <w:div w:id="897473504">
      <w:bodyDiv w:val="1"/>
      <w:marLeft w:val="0"/>
      <w:marRight w:val="0"/>
      <w:marTop w:val="0"/>
      <w:marBottom w:val="0"/>
      <w:divBdr>
        <w:top w:val="none" w:sz="0" w:space="0" w:color="auto"/>
        <w:left w:val="none" w:sz="0" w:space="0" w:color="auto"/>
        <w:bottom w:val="none" w:sz="0" w:space="0" w:color="auto"/>
        <w:right w:val="none" w:sz="0" w:space="0" w:color="auto"/>
      </w:divBdr>
    </w:div>
    <w:div w:id="916718386">
      <w:bodyDiv w:val="1"/>
      <w:marLeft w:val="0"/>
      <w:marRight w:val="0"/>
      <w:marTop w:val="0"/>
      <w:marBottom w:val="0"/>
      <w:divBdr>
        <w:top w:val="none" w:sz="0" w:space="0" w:color="auto"/>
        <w:left w:val="none" w:sz="0" w:space="0" w:color="auto"/>
        <w:bottom w:val="none" w:sz="0" w:space="0" w:color="auto"/>
        <w:right w:val="none" w:sz="0" w:space="0" w:color="auto"/>
      </w:divBdr>
    </w:div>
    <w:div w:id="926114472">
      <w:bodyDiv w:val="1"/>
      <w:marLeft w:val="0"/>
      <w:marRight w:val="0"/>
      <w:marTop w:val="0"/>
      <w:marBottom w:val="0"/>
      <w:divBdr>
        <w:top w:val="none" w:sz="0" w:space="0" w:color="auto"/>
        <w:left w:val="none" w:sz="0" w:space="0" w:color="auto"/>
        <w:bottom w:val="none" w:sz="0" w:space="0" w:color="auto"/>
        <w:right w:val="none" w:sz="0" w:space="0" w:color="auto"/>
      </w:divBdr>
    </w:div>
    <w:div w:id="949048878">
      <w:bodyDiv w:val="1"/>
      <w:marLeft w:val="0"/>
      <w:marRight w:val="0"/>
      <w:marTop w:val="0"/>
      <w:marBottom w:val="0"/>
      <w:divBdr>
        <w:top w:val="none" w:sz="0" w:space="0" w:color="auto"/>
        <w:left w:val="none" w:sz="0" w:space="0" w:color="auto"/>
        <w:bottom w:val="none" w:sz="0" w:space="0" w:color="auto"/>
        <w:right w:val="none" w:sz="0" w:space="0" w:color="auto"/>
      </w:divBdr>
    </w:div>
    <w:div w:id="976493618">
      <w:bodyDiv w:val="1"/>
      <w:marLeft w:val="0"/>
      <w:marRight w:val="0"/>
      <w:marTop w:val="0"/>
      <w:marBottom w:val="0"/>
      <w:divBdr>
        <w:top w:val="none" w:sz="0" w:space="0" w:color="auto"/>
        <w:left w:val="none" w:sz="0" w:space="0" w:color="auto"/>
        <w:bottom w:val="none" w:sz="0" w:space="0" w:color="auto"/>
        <w:right w:val="none" w:sz="0" w:space="0" w:color="auto"/>
      </w:divBdr>
    </w:div>
    <w:div w:id="978150532">
      <w:bodyDiv w:val="1"/>
      <w:marLeft w:val="0"/>
      <w:marRight w:val="0"/>
      <w:marTop w:val="0"/>
      <w:marBottom w:val="0"/>
      <w:divBdr>
        <w:top w:val="none" w:sz="0" w:space="0" w:color="auto"/>
        <w:left w:val="none" w:sz="0" w:space="0" w:color="auto"/>
        <w:bottom w:val="none" w:sz="0" w:space="0" w:color="auto"/>
        <w:right w:val="none" w:sz="0" w:space="0" w:color="auto"/>
      </w:divBdr>
    </w:div>
    <w:div w:id="978680735">
      <w:bodyDiv w:val="1"/>
      <w:marLeft w:val="0"/>
      <w:marRight w:val="0"/>
      <w:marTop w:val="0"/>
      <w:marBottom w:val="0"/>
      <w:divBdr>
        <w:top w:val="none" w:sz="0" w:space="0" w:color="auto"/>
        <w:left w:val="none" w:sz="0" w:space="0" w:color="auto"/>
        <w:bottom w:val="none" w:sz="0" w:space="0" w:color="auto"/>
        <w:right w:val="none" w:sz="0" w:space="0" w:color="auto"/>
      </w:divBdr>
    </w:div>
    <w:div w:id="1003625187">
      <w:bodyDiv w:val="1"/>
      <w:marLeft w:val="0"/>
      <w:marRight w:val="0"/>
      <w:marTop w:val="0"/>
      <w:marBottom w:val="0"/>
      <w:divBdr>
        <w:top w:val="none" w:sz="0" w:space="0" w:color="auto"/>
        <w:left w:val="none" w:sz="0" w:space="0" w:color="auto"/>
        <w:bottom w:val="none" w:sz="0" w:space="0" w:color="auto"/>
        <w:right w:val="none" w:sz="0" w:space="0" w:color="auto"/>
      </w:divBdr>
    </w:div>
    <w:div w:id="1010526261">
      <w:bodyDiv w:val="1"/>
      <w:marLeft w:val="0"/>
      <w:marRight w:val="0"/>
      <w:marTop w:val="0"/>
      <w:marBottom w:val="0"/>
      <w:divBdr>
        <w:top w:val="none" w:sz="0" w:space="0" w:color="auto"/>
        <w:left w:val="none" w:sz="0" w:space="0" w:color="auto"/>
        <w:bottom w:val="none" w:sz="0" w:space="0" w:color="auto"/>
        <w:right w:val="none" w:sz="0" w:space="0" w:color="auto"/>
      </w:divBdr>
    </w:div>
    <w:div w:id="1041129336">
      <w:bodyDiv w:val="1"/>
      <w:marLeft w:val="0"/>
      <w:marRight w:val="0"/>
      <w:marTop w:val="0"/>
      <w:marBottom w:val="0"/>
      <w:divBdr>
        <w:top w:val="none" w:sz="0" w:space="0" w:color="auto"/>
        <w:left w:val="none" w:sz="0" w:space="0" w:color="auto"/>
        <w:bottom w:val="none" w:sz="0" w:space="0" w:color="auto"/>
        <w:right w:val="none" w:sz="0" w:space="0" w:color="auto"/>
      </w:divBdr>
    </w:div>
    <w:div w:id="1046872312">
      <w:bodyDiv w:val="1"/>
      <w:marLeft w:val="0"/>
      <w:marRight w:val="0"/>
      <w:marTop w:val="0"/>
      <w:marBottom w:val="0"/>
      <w:divBdr>
        <w:top w:val="none" w:sz="0" w:space="0" w:color="auto"/>
        <w:left w:val="none" w:sz="0" w:space="0" w:color="auto"/>
        <w:bottom w:val="none" w:sz="0" w:space="0" w:color="auto"/>
        <w:right w:val="none" w:sz="0" w:space="0" w:color="auto"/>
      </w:divBdr>
    </w:div>
    <w:div w:id="1060640498">
      <w:bodyDiv w:val="1"/>
      <w:marLeft w:val="0"/>
      <w:marRight w:val="0"/>
      <w:marTop w:val="0"/>
      <w:marBottom w:val="0"/>
      <w:divBdr>
        <w:top w:val="none" w:sz="0" w:space="0" w:color="auto"/>
        <w:left w:val="none" w:sz="0" w:space="0" w:color="auto"/>
        <w:bottom w:val="none" w:sz="0" w:space="0" w:color="auto"/>
        <w:right w:val="none" w:sz="0" w:space="0" w:color="auto"/>
      </w:divBdr>
    </w:div>
    <w:div w:id="1081029842">
      <w:bodyDiv w:val="1"/>
      <w:marLeft w:val="0"/>
      <w:marRight w:val="0"/>
      <w:marTop w:val="0"/>
      <w:marBottom w:val="0"/>
      <w:divBdr>
        <w:top w:val="none" w:sz="0" w:space="0" w:color="auto"/>
        <w:left w:val="none" w:sz="0" w:space="0" w:color="auto"/>
        <w:bottom w:val="none" w:sz="0" w:space="0" w:color="auto"/>
        <w:right w:val="none" w:sz="0" w:space="0" w:color="auto"/>
      </w:divBdr>
    </w:div>
    <w:div w:id="1111896993">
      <w:bodyDiv w:val="1"/>
      <w:marLeft w:val="0"/>
      <w:marRight w:val="0"/>
      <w:marTop w:val="0"/>
      <w:marBottom w:val="0"/>
      <w:divBdr>
        <w:top w:val="none" w:sz="0" w:space="0" w:color="auto"/>
        <w:left w:val="none" w:sz="0" w:space="0" w:color="auto"/>
        <w:bottom w:val="none" w:sz="0" w:space="0" w:color="auto"/>
        <w:right w:val="none" w:sz="0" w:space="0" w:color="auto"/>
      </w:divBdr>
    </w:div>
    <w:div w:id="1118836076">
      <w:bodyDiv w:val="1"/>
      <w:marLeft w:val="0"/>
      <w:marRight w:val="0"/>
      <w:marTop w:val="0"/>
      <w:marBottom w:val="0"/>
      <w:divBdr>
        <w:top w:val="none" w:sz="0" w:space="0" w:color="auto"/>
        <w:left w:val="none" w:sz="0" w:space="0" w:color="auto"/>
        <w:bottom w:val="none" w:sz="0" w:space="0" w:color="auto"/>
        <w:right w:val="none" w:sz="0" w:space="0" w:color="auto"/>
      </w:divBdr>
    </w:div>
    <w:div w:id="1146387263">
      <w:bodyDiv w:val="1"/>
      <w:marLeft w:val="0"/>
      <w:marRight w:val="0"/>
      <w:marTop w:val="0"/>
      <w:marBottom w:val="0"/>
      <w:divBdr>
        <w:top w:val="none" w:sz="0" w:space="0" w:color="auto"/>
        <w:left w:val="none" w:sz="0" w:space="0" w:color="auto"/>
        <w:bottom w:val="none" w:sz="0" w:space="0" w:color="auto"/>
        <w:right w:val="none" w:sz="0" w:space="0" w:color="auto"/>
      </w:divBdr>
    </w:div>
    <w:div w:id="1165627390">
      <w:bodyDiv w:val="1"/>
      <w:marLeft w:val="0"/>
      <w:marRight w:val="0"/>
      <w:marTop w:val="0"/>
      <w:marBottom w:val="0"/>
      <w:divBdr>
        <w:top w:val="none" w:sz="0" w:space="0" w:color="auto"/>
        <w:left w:val="none" w:sz="0" w:space="0" w:color="auto"/>
        <w:bottom w:val="none" w:sz="0" w:space="0" w:color="auto"/>
        <w:right w:val="none" w:sz="0" w:space="0" w:color="auto"/>
      </w:divBdr>
    </w:div>
    <w:div w:id="1175923728">
      <w:bodyDiv w:val="1"/>
      <w:marLeft w:val="0"/>
      <w:marRight w:val="0"/>
      <w:marTop w:val="0"/>
      <w:marBottom w:val="0"/>
      <w:divBdr>
        <w:top w:val="none" w:sz="0" w:space="0" w:color="auto"/>
        <w:left w:val="none" w:sz="0" w:space="0" w:color="auto"/>
        <w:bottom w:val="none" w:sz="0" w:space="0" w:color="auto"/>
        <w:right w:val="none" w:sz="0" w:space="0" w:color="auto"/>
      </w:divBdr>
    </w:div>
    <w:div w:id="1204948985">
      <w:bodyDiv w:val="1"/>
      <w:marLeft w:val="0"/>
      <w:marRight w:val="0"/>
      <w:marTop w:val="0"/>
      <w:marBottom w:val="0"/>
      <w:divBdr>
        <w:top w:val="none" w:sz="0" w:space="0" w:color="auto"/>
        <w:left w:val="none" w:sz="0" w:space="0" w:color="auto"/>
        <w:bottom w:val="none" w:sz="0" w:space="0" w:color="auto"/>
        <w:right w:val="none" w:sz="0" w:space="0" w:color="auto"/>
      </w:divBdr>
    </w:div>
    <w:div w:id="1220828754">
      <w:bodyDiv w:val="1"/>
      <w:marLeft w:val="0"/>
      <w:marRight w:val="0"/>
      <w:marTop w:val="0"/>
      <w:marBottom w:val="0"/>
      <w:divBdr>
        <w:top w:val="none" w:sz="0" w:space="0" w:color="auto"/>
        <w:left w:val="none" w:sz="0" w:space="0" w:color="auto"/>
        <w:bottom w:val="none" w:sz="0" w:space="0" w:color="auto"/>
        <w:right w:val="none" w:sz="0" w:space="0" w:color="auto"/>
      </w:divBdr>
    </w:div>
    <w:div w:id="1233007705">
      <w:bodyDiv w:val="1"/>
      <w:marLeft w:val="0"/>
      <w:marRight w:val="0"/>
      <w:marTop w:val="0"/>
      <w:marBottom w:val="0"/>
      <w:divBdr>
        <w:top w:val="none" w:sz="0" w:space="0" w:color="auto"/>
        <w:left w:val="none" w:sz="0" w:space="0" w:color="auto"/>
        <w:bottom w:val="none" w:sz="0" w:space="0" w:color="auto"/>
        <w:right w:val="none" w:sz="0" w:space="0" w:color="auto"/>
      </w:divBdr>
    </w:div>
    <w:div w:id="1269508308">
      <w:bodyDiv w:val="1"/>
      <w:marLeft w:val="0"/>
      <w:marRight w:val="0"/>
      <w:marTop w:val="0"/>
      <w:marBottom w:val="0"/>
      <w:divBdr>
        <w:top w:val="none" w:sz="0" w:space="0" w:color="auto"/>
        <w:left w:val="none" w:sz="0" w:space="0" w:color="auto"/>
        <w:bottom w:val="none" w:sz="0" w:space="0" w:color="auto"/>
        <w:right w:val="none" w:sz="0" w:space="0" w:color="auto"/>
      </w:divBdr>
    </w:div>
    <w:div w:id="1281110002">
      <w:bodyDiv w:val="1"/>
      <w:marLeft w:val="0"/>
      <w:marRight w:val="0"/>
      <w:marTop w:val="0"/>
      <w:marBottom w:val="0"/>
      <w:divBdr>
        <w:top w:val="none" w:sz="0" w:space="0" w:color="auto"/>
        <w:left w:val="none" w:sz="0" w:space="0" w:color="auto"/>
        <w:bottom w:val="none" w:sz="0" w:space="0" w:color="auto"/>
        <w:right w:val="none" w:sz="0" w:space="0" w:color="auto"/>
      </w:divBdr>
    </w:div>
    <w:div w:id="1313102445">
      <w:bodyDiv w:val="1"/>
      <w:marLeft w:val="0"/>
      <w:marRight w:val="0"/>
      <w:marTop w:val="0"/>
      <w:marBottom w:val="0"/>
      <w:divBdr>
        <w:top w:val="none" w:sz="0" w:space="0" w:color="auto"/>
        <w:left w:val="none" w:sz="0" w:space="0" w:color="auto"/>
        <w:bottom w:val="none" w:sz="0" w:space="0" w:color="auto"/>
        <w:right w:val="none" w:sz="0" w:space="0" w:color="auto"/>
      </w:divBdr>
    </w:div>
    <w:div w:id="1348944075">
      <w:bodyDiv w:val="1"/>
      <w:marLeft w:val="0"/>
      <w:marRight w:val="0"/>
      <w:marTop w:val="0"/>
      <w:marBottom w:val="0"/>
      <w:divBdr>
        <w:top w:val="none" w:sz="0" w:space="0" w:color="auto"/>
        <w:left w:val="none" w:sz="0" w:space="0" w:color="auto"/>
        <w:bottom w:val="none" w:sz="0" w:space="0" w:color="auto"/>
        <w:right w:val="none" w:sz="0" w:space="0" w:color="auto"/>
      </w:divBdr>
    </w:div>
    <w:div w:id="1354919588">
      <w:bodyDiv w:val="1"/>
      <w:marLeft w:val="0"/>
      <w:marRight w:val="0"/>
      <w:marTop w:val="0"/>
      <w:marBottom w:val="0"/>
      <w:divBdr>
        <w:top w:val="none" w:sz="0" w:space="0" w:color="auto"/>
        <w:left w:val="none" w:sz="0" w:space="0" w:color="auto"/>
        <w:bottom w:val="none" w:sz="0" w:space="0" w:color="auto"/>
        <w:right w:val="none" w:sz="0" w:space="0" w:color="auto"/>
      </w:divBdr>
    </w:div>
    <w:div w:id="1368339548">
      <w:bodyDiv w:val="1"/>
      <w:marLeft w:val="0"/>
      <w:marRight w:val="0"/>
      <w:marTop w:val="0"/>
      <w:marBottom w:val="0"/>
      <w:divBdr>
        <w:top w:val="none" w:sz="0" w:space="0" w:color="auto"/>
        <w:left w:val="none" w:sz="0" w:space="0" w:color="auto"/>
        <w:bottom w:val="none" w:sz="0" w:space="0" w:color="auto"/>
        <w:right w:val="none" w:sz="0" w:space="0" w:color="auto"/>
      </w:divBdr>
    </w:div>
    <w:div w:id="1398628044">
      <w:bodyDiv w:val="1"/>
      <w:marLeft w:val="0"/>
      <w:marRight w:val="0"/>
      <w:marTop w:val="0"/>
      <w:marBottom w:val="0"/>
      <w:divBdr>
        <w:top w:val="none" w:sz="0" w:space="0" w:color="auto"/>
        <w:left w:val="none" w:sz="0" w:space="0" w:color="auto"/>
        <w:bottom w:val="none" w:sz="0" w:space="0" w:color="auto"/>
        <w:right w:val="none" w:sz="0" w:space="0" w:color="auto"/>
      </w:divBdr>
    </w:div>
    <w:div w:id="1404912797">
      <w:bodyDiv w:val="1"/>
      <w:marLeft w:val="0"/>
      <w:marRight w:val="0"/>
      <w:marTop w:val="0"/>
      <w:marBottom w:val="0"/>
      <w:divBdr>
        <w:top w:val="none" w:sz="0" w:space="0" w:color="auto"/>
        <w:left w:val="none" w:sz="0" w:space="0" w:color="auto"/>
        <w:bottom w:val="none" w:sz="0" w:space="0" w:color="auto"/>
        <w:right w:val="none" w:sz="0" w:space="0" w:color="auto"/>
      </w:divBdr>
    </w:div>
    <w:div w:id="1408921874">
      <w:bodyDiv w:val="1"/>
      <w:marLeft w:val="0"/>
      <w:marRight w:val="0"/>
      <w:marTop w:val="0"/>
      <w:marBottom w:val="0"/>
      <w:divBdr>
        <w:top w:val="none" w:sz="0" w:space="0" w:color="auto"/>
        <w:left w:val="none" w:sz="0" w:space="0" w:color="auto"/>
        <w:bottom w:val="none" w:sz="0" w:space="0" w:color="auto"/>
        <w:right w:val="none" w:sz="0" w:space="0" w:color="auto"/>
      </w:divBdr>
    </w:div>
    <w:div w:id="1440488875">
      <w:bodyDiv w:val="1"/>
      <w:marLeft w:val="0"/>
      <w:marRight w:val="0"/>
      <w:marTop w:val="0"/>
      <w:marBottom w:val="0"/>
      <w:divBdr>
        <w:top w:val="none" w:sz="0" w:space="0" w:color="auto"/>
        <w:left w:val="none" w:sz="0" w:space="0" w:color="auto"/>
        <w:bottom w:val="none" w:sz="0" w:space="0" w:color="auto"/>
        <w:right w:val="none" w:sz="0" w:space="0" w:color="auto"/>
      </w:divBdr>
    </w:div>
    <w:div w:id="1471168731">
      <w:bodyDiv w:val="1"/>
      <w:marLeft w:val="0"/>
      <w:marRight w:val="0"/>
      <w:marTop w:val="0"/>
      <w:marBottom w:val="0"/>
      <w:divBdr>
        <w:top w:val="none" w:sz="0" w:space="0" w:color="auto"/>
        <w:left w:val="none" w:sz="0" w:space="0" w:color="auto"/>
        <w:bottom w:val="none" w:sz="0" w:space="0" w:color="auto"/>
        <w:right w:val="none" w:sz="0" w:space="0" w:color="auto"/>
      </w:divBdr>
    </w:div>
    <w:div w:id="1531381775">
      <w:bodyDiv w:val="1"/>
      <w:marLeft w:val="0"/>
      <w:marRight w:val="0"/>
      <w:marTop w:val="0"/>
      <w:marBottom w:val="0"/>
      <w:divBdr>
        <w:top w:val="none" w:sz="0" w:space="0" w:color="auto"/>
        <w:left w:val="none" w:sz="0" w:space="0" w:color="auto"/>
        <w:bottom w:val="none" w:sz="0" w:space="0" w:color="auto"/>
        <w:right w:val="none" w:sz="0" w:space="0" w:color="auto"/>
      </w:divBdr>
    </w:div>
    <w:div w:id="1537622622">
      <w:bodyDiv w:val="1"/>
      <w:marLeft w:val="0"/>
      <w:marRight w:val="0"/>
      <w:marTop w:val="0"/>
      <w:marBottom w:val="0"/>
      <w:divBdr>
        <w:top w:val="none" w:sz="0" w:space="0" w:color="auto"/>
        <w:left w:val="none" w:sz="0" w:space="0" w:color="auto"/>
        <w:bottom w:val="none" w:sz="0" w:space="0" w:color="auto"/>
        <w:right w:val="none" w:sz="0" w:space="0" w:color="auto"/>
      </w:divBdr>
    </w:div>
    <w:div w:id="1553036820">
      <w:bodyDiv w:val="1"/>
      <w:marLeft w:val="0"/>
      <w:marRight w:val="0"/>
      <w:marTop w:val="0"/>
      <w:marBottom w:val="0"/>
      <w:divBdr>
        <w:top w:val="none" w:sz="0" w:space="0" w:color="auto"/>
        <w:left w:val="none" w:sz="0" w:space="0" w:color="auto"/>
        <w:bottom w:val="none" w:sz="0" w:space="0" w:color="auto"/>
        <w:right w:val="none" w:sz="0" w:space="0" w:color="auto"/>
      </w:divBdr>
    </w:div>
    <w:div w:id="1578787460">
      <w:bodyDiv w:val="1"/>
      <w:marLeft w:val="0"/>
      <w:marRight w:val="0"/>
      <w:marTop w:val="0"/>
      <w:marBottom w:val="0"/>
      <w:divBdr>
        <w:top w:val="none" w:sz="0" w:space="0" w:color="auto"/>
        <w:left w:val="none" w:sz="0" w:space="0" w:color="auto"/>
        <w:bottom w:val="none" w:sz="0" w:space="0" w:color="auto"/>
        <w:right w:val="none" w:sz="0" w:space="0" w:color="auto"/>
      </w:divBdr>
      <w:divsChild>
        <w:div w:id="782378940">
          <w:marLeft w:val="0"/>
          <w:marRight w:val="0"/>
          <w:marTop w:val="0"/>
          <w:marBottom w:val="0"/>
          <w:divBdr>
            <w:top w:val="none" w:sz="0" w:space="0" w:color="auto"/>
            <w:left w:val="none" w:sz="0" w:space="0" w:color="auto"/>
            <w:bottom w:val="none" w:sz="0" w:space="0" w:color="auto"/>
            <w:right w:val="none" w:sz="0" w:space="0" w:color="auto"/>
          </w:divBdr>
          <w:divsChild>
            <w:div w:id="1757903515">
              <w:marLeft w:val="0"/>
              <w:marRight w:val="0"/>
              <w:marTop w:val="0"/>
              <w:marBottom w:val="0"/>
              <w:divBdr>
                <w:top w:val="none" w:sz="0" w:space="0" w:color="auto"/>
                <w:left w:val="none" w:sz="0" w:space="0" w:color="auto"/>
                <w:bottom w:val="none" w:sz="0" w:space="0" w:color="auto"/>
                <w:right w:val="none" w:sz="0" w:space="0" w:color="auto"/>
              </w:divBdr>
              <w:divsChild>
                <w:div w:id="58527804">
                  <w:marLeft w:val="-90"/>
                  <w:marRight w:val="-90"/>
                  <w:marTop w:val="0"/>
                  <w:marBottom w:val="0"/>
                  <w:divBdr>
                    <w:top w:val="none" w:sz="0" w:space="0" w:color="auto"/>
                    <w:left w:val="none" w:sz="0" w:space="0" w:color="auto"/>
                    <w:bottom w:val="none" w:sz="0" w:space="0" w:color="auto"/>
                    <w:right w:val="none" w:sz="0" w:space="0" w:color="auto"/>
                  </w:divBdr>
                  <w:divsChild>
                    <w:div w:id="168759274">
                      <w:marLeft w:val="0"/>
                      <w:marRight w:val="0"/>
                      <w:marTop w:val="0"/>
                      <w:marBottom w:val="0"/>
                      <w:divBdr>
                        <w:top w:val="none" w:sz="0" w:space="0" w:color="auto"/>
                        <w:left w:val="none" w:sz="0" w:space="0" w:color="auto"/>
                        <w:bottom w:val="none" w:sz="0" w:space="0" w:color="auto"/>
                        <w:right w:val="none" w:sz="0" w:space="0" w:color="auto"/>
                      </w:divBdr>
                      <w:divsChild>
                        <w:div w:id="114911553">
                          <w:marLeft w:val="0"/>
                          <w:marRight w:val="0"/>
                          <w:marTop w:val="0"/>
                          <w:marBottom w:val="0"/>
                          <w:divBdr>
                            <w:top w:val="none" w:sz="0" w:space="0" w:color="auto"/>
                            <w:left w:val="none" w:sz="0" w:space="0" w:color="auto"/>
                            <w:bottom w:val="none" w:sz="0" w:space="0" w:color="auto"/>
                            <w:right w:val="none" w:sz="0" w:space="0" w:color="auto"/>
                          </w:divBdr>
                          <w:divsChild>
                            <w:div w:id="914974080">
                              <w:marLeft w:val="0"/>
                              <w:marRight w:val="0"/>
                              <w:marTop w:val="0"/>
                              <w:marBottom w:val="0"/>
                              <w:divBdr>
                                <w:top w:val="none" w:sz="0" w:space="0" w:color="auto"/>
                                <w:left w:val="none" w:sz="0" w:space="0" w:color="auto"/>
                                <w:bottom w:val="none" w:sz="0" w:space="0" w:color="auto"/>
                                <w:right w:val="none" w:sz="0" w:space="0" w:color="auto"/>
                              </w:divBdr>
                              <w:divsChild>
                                <w:div w:id="1314871050">
                                  <w:marLeft w:val="0"/>
                                  <w:marRight w:val="0"/>
                                  <w:marTop w:val="0"/>
                                  <w:marBottom w:val="0"/>
                                  <w:divBdr>
                                    <w:top w:val="none" w:sz="0" w:space="0" w:color="auto"/>
                                    <w:left w:val="none" w:sz="0" w:space="0" w:color="auto"/>
                                    <w:bottom w:val="none" w:sz="0" w:space="0" w:color="auto"/>
                                    <w:right w:val="none" w:sz="0" w:space="0" w:color="auto"/>
                                  </w:divBdr>
                                  <w:divsChild>
                                    <w:div w:id="1919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5215">
      <w:bodyDiv w:val="1"/>
      <w:marLeft w:val="0"/>
      <w:marRight w:val="0"/>
      <w:marTop w:val="0"/>
      <w:marBottom w:val="0"/>
      <w:divBdr>
        <w:top w:val="none" w:sz="0" w:space="0" w:color="auto"/>
        <w:left w:val="none" w:sz="0" w:space="0" w:color="auto"/>
        <w:bottom w:val="none" w:sz="0" w:space="0" w:color="auto"/>
        <w:right w:val="none" w:sz="0" w:space="0" w:color="auto"/>
      </w:divBdr>
    </w:div>
    <w:div w:id="1632205980">
      <w:bodyDiv w:val="1"/>
      <w:marLeft w:val="0"/>
      <w:marRight w:val="0"/>
      <w:marTop w:val="0"/>
      <w:marBottom w:val="0"/>
      <w:divBdr>
        <w:top w:val="none" w:sz="0" w:space="0" w:color="auto"/>
        <w:left w:val="none" w:sz="0" w:space="0" w:color="auto"/>
        <w:bottom w:val="none" w:sz="0" w:space="0" w:color="auto"/>
        <w:right w:val="none" w:sz="0" w:space="0" w:color="auto"/>
      </w:divBdr>
    </w:div>
    <w:div w:id="1707439599">
      <w:bodyDiv w:val="1"/>
      <w:marLeft w:val="0"/>
      <w:marRight w:val="0"/>
      <w:marTop w:val="0"/>
      <w:marBottom w:val="0"/>
      <w:divBdr>
        <w:top w:val="none" w:sz="0" w:space="0" w:color="auto"/>
        <w:left w:val="none" w:sz="0" w:space="0" w:color="auto"/>
        <w:bottom w:val="none" w:sz="0" w:space="0" w:color="auto"/>
        <w:right w:val="none" w:sz="0" w:space="0" w:color="auto"/>
      </w:divBdr>
    </w:div>
    <w:div w:id="1720133169">
      <w:bodyDiv w:val="1"/>
      <w:marLeft w:val="0"/>
      <w:marRight w:val="0"/>
      <w:marTop w:val="0"/>
      <w:marBottom w:val="0"/>
      <w:divBdr>
        <w:top w:val="none" w:sz="0" w:space="0" w:color="auto"/>
        <w:left w:val="none" w:sz="0" w:space="0" w:color="auto"/>
        <w:bottom w:val="none" w:sz="0" w:space="0" w:color="auto"/>
        <w:right w:val="none" w:sz="0" w:space="0" w:color="auto"/>
      </w:divBdr>
    </w:div>
    <w:div w:id="1746537666">
      <w:bodyDiv w:val="1"/>
      <w:marLeft w:val="0"/>
      <w:marRight w:val="0"/>
      <w:marTop w:val="0"/>
      <w:marBottom w:val="0"/>
      <w:divBdr>
        <w:top w:val="none" w:sz="0" w:space="0" w:color="auto"/>
        <w:left w:val="none" w:sz="0" w:space="0" w:color="auto"/>
        <w:bottom w:val="none" w:sz="0" w:space="0" w:color="auto"/>
        <w:right w:val="none" w:sz="0" w:space="0" w:color="auto"/>
      </w:divBdr>
    </w:div>
    <w:div w:id="1767076159">
      <w:bodyDiv w:val="1"/>
      <w:marLeft w:val="0"/>
      <w:marRight w:val="0"/>
      <w:marTop w:val="0"/>
      <w:marBottom w:val="0"/>
      <w:divBdr>
        <w:top w:val="none" w:sz="0" w:space="0" w:color="auto"/>
        <w:left w:val="none" w:sz="0" w:space="0" w:color="auto"/>
        <w:bottom w:val="none" w:sz="0" w:space="0" w:color="auto"/>
        <w:right w:val="none" w:sz="0" w:space="0" w:color="auto"/>
      </w:divBdr>
    </w:div>
    <w:div w:id="1770813582">
      <w:bodyDiv w:val="1"/>
      <w:marLeft w:val="0"/>
      <w:marRight w:val="0"/>
      <w:marTop w:val="0"/>
      <w:marBottom w:val="0"/>
      <w:divBdr>
        <w:top w:val="none" w:sz="0" w:space="0" w:color="auto"/>
        <w:left w:val="none" w:sz="0" w:space="0" w:color="auto"/>
        <w:bottom w:val="none" w:sz="0" w:space="0" w:color="auto"/>
        <w:right w:val="none" w:sz="0" w:space="0" w:color="auto"/>
      </w:divBdr>
    </w:div>
    <w:div w:id="1782188333">
      <w:bodyDiv w:val="1"/>
      <w:marLeft w:val="0"/>
      <w:marRight w:val="0"/>
      <w:marTop w:val="0"/>
      <w:marBottom w:val="0"/>
      <w:divBdr>
        <w:top w:val="none" w:sz="0" w:space="0" w:color="auto"/>
        <w:left w:val="none" w:sz="0" w:space="0" w:color="auto"/>
        <w:bottom w:val="none" w:sz="0" w:space="0" w:color="auto"/>
        <w:right w:val="none" w:sz="0" w:space="0" w:color="auto"/>
      </w:divBdr>
    </w:div>
    <w:div w:id="1784350194">
      <w:bodyDiv w:val="1"/>
      <w:marLeft w:val="0"/>
      <w:marRight w:val="0"/>
      <w:marTop w:val="0"/>
      <w:marBottom w:val="0"/>
      <w:divBdr>
        <w:top w:val="none" w:sz="0" w:space="0" w:color="auto"/>
        <w:left w:val="none" w:sz="0" w:space="0" w:color="auto"/>
        <w:bottom w:val="none" w:sz="0" w:space="0" w:color="auto"/>
        <w:right w:val="none" w:sz="0" w:space="0" w:color="auto"/>
      </w:divBdr>
    </w:div>
    <w:div w:id="1786343876">
      <w:bodyDiv w:val="1"/>
      <w:marLeft w:val="0"/>
      <w:marRight w:val="0"/>
      <w:marTop w:val="0"/>
      <w:marBottom w:val="0"/>
      <w:divBdr>
        <w:top w:val="none" w:sz="0" w:space="0" w:color="auto"/>
        <w:left w:val="none" w:sz="0" w:space="0" w:color="auto"/>
        <w:bottom w:val="none" w:sz="0" w:space="0" w:color="auto"/>
        <w:right w:val="none" w:sz="0" w:space="0" w:color="auto"/>
      </w:divBdr>
    </w:div>
    <w:div w:id="1792168070">
      <w:bodyDiv w:val="1"/>
      <w:marLeft w:val="0"/>
      <w:marRight w:val="0"/>
      <w:marTop w:val="0"/>
      <w:marBottom w:val="0"/>
      <w:divBdr>
        <w:top w:val="none" w:sz="0" w:space="0" w:color="auto"/>
        <w:left w:val="none" w:sz="0" w:space="0" w:color="auto"/>
        <w:bottom w:val="none" w:sz="0" w:space="0" w:color="auto"/>
        <w:right w:val="none" w:sz="0" w:space="0" w:color="auto"/>
      </w:divBdr>
    </w:div>
    <w:div w:id="1829974086">
      <w:bodyDiv w:val="1"/>
      <w:marLeft w:val="0"/>
      <w:marRight w:val="0"/>
      <w:marTop w:val="0"/>
      <w:marBottom w:val="0"/>
      <w:divBdr>
        <w:top w:val="none" w:sz="0" w:space="0" w:color="auto"/>
        <w:left w:val="none" w:sz="0" w:space="0" w:color="auto"/>
        <w:bottom w:val="none" w:sz="0" w:space="0" w:color="auto"/>
        <w:right w:val="none" w:sz="0" w:space="0" w:color="auto"/>
      </w:divBdr>
    </w:div>
    <w:div w:id="1860309853">
      <w:bodyDiv w:val="1"/>
      <w:marLeft w:val="0"/>
      <w:marRight w:val="0"/>
      <w:marTop w:val="0"/>
      <w:marBottom w:val="0"/>
      <w:divBdr>
        <w:top w:val="none" w:sz="0" w:space="0" w:color="auto"/>
        <w:left w:val="none" w:sz="0" w:space="0" w:color="auto"/>
        <w:bottom w:val="none" w:sz="0" w:space="0" w:color="auto"/>
        <w:right w:val="none" w:sz="0" w:space="0" w:color="auto"/>
      </w:divBdr>
    </w:div>
    <w:div w:id="1871412981">
      <w:bodyDiv w:val="1"/>
      <w:marLeft w:val="0"/>
      <w:marRight w:val="0"/>
      <w:marTop w:val="0"/>
      <w:marBottom w:val="0"/>
      <w:divBdr>
        <w:top w:val="none" w:sz="0" w:space="0" w:color="auto"/>
        <w:left w:val="none" w:sz="0" w:space="0" w:color="auto"/>
        <w:bottom w:val="none" w:sz="0" w:space="0" w:color="auto"/>
        <w:right w:val="none" w:sz="0" w:space="0" w:color="auto"/>
      </w:divBdr>
    </w:div>
    <w:div w:id="1878201949">
      <w:bodyDiv w:val="1"/>
      <w:marLeft w:val="0"/>
      <w:marRight w:val="0"/>
      <w:marTop w:val="0"/>
      <w:marBottom w:val="0"/>
      <w:divBdr>
        <w:top w:val="none" w:sz="0" w:space="0" w:color="auto"/>
        <w:left w:val="none" w:sz="0" w:space="0" w:color="auto"/>
        <w:bottom w:val="none" w:sz="0" w:space="0" w:color="auto"/>
        <w:right w:val="none" w:sz="0" w:space="0" w:color="auto"/>
      </w:divBdr>
    </w:div>
    <w:div w:id="1918710536">
      <w:bodyDiv w:val="1"/>
      <w:marLeft w:val="0"/>
      <w:marRight w:val="0"/>
      <w:marTop w:val="0"/>
      <w:marBottom w:val="0"/>
      <w:divBdr>
        <w:top w:val="none" w:sz="0" w:space="0" w:color="auto"/>
        <w:left w:val="none" w:sz="0" w:space="0" w:color="auto"/>
        <w:bottom w:val="none" w:sz="0" w:space="0" w:color="auto"/>
        <w:right w:val="none" w:sz="0" w:space="0" w:color="auto"/>
      </w:divBdr>
    </w:div>
    <w:div w:id="1940873050">
      <w:bodyDiv w:val="1"/>
      <w:marLeft w:val="0"/>
      <w:marRight w:val="0"/>
      <w:marTop w:val="0"/>
      <w:marBottom w:val="0"/>
      <w:divBdr>
        <w:top w:val="none" w:sz="0" w:space="0" w:color="auto"/>
        <w:left w:val="none" w:sz="0" w:space="0" w:color="auto"/>
        <w:bottom w:val="none" w:sz="0" w:space="0" w:color="auto"/>
        <w:right w:val="none" w:sz="0" w:space="0" w:color="auto"/>
      </w:divBdr>
    </w:div>
    <w:div w:id="1948541738">
      <w:bodyDiv w:val="1"/>
      <w:marLeft w:val="0"/>
      <w:marRight w:val="0"/>
      <w:marTop w:val="0"/>
      <w:marBottom w:val="0"/>
      <w:divBdr>
        <w:top w:val="none" w:sz="0" w:space="0" w:color="auto"/>
        <w:left w:val="none" w:sz="0" w:space="0" w:color="auto"/>
        <w:bottom w:val="none" w:sz="0" w:space="0" w:color="auto"/>
        <w:right w:val="none" w:sz="0" w:space="0" w:color="auto"/>
      </w:divBdr>
    </w:div>
    <w:div w:id="1965384693">
      <w:bodyDiv w:val="1"/>
      <w:marLeft w:val="0"/>
      <w:marRight w:val="0"/>
      <w:marTop w:val="0"/>
      <w:marBottom w:val="0"/>
      <w:divBdr>
        <w:top w:val="none" w:sz="0" w:space="0" w:color="auto"/>
        <w:left w:val="none" w:sz="0" w:space="0" w:color="auto"/>
        <w:bottom w:val="none" w:sz="0" w:space="0" w:color="auto"/>
        <w:right w:val="none" w:sz="0" w:space="0" w:color="auto"/>
      </w:divBdr>
    </w:div>
    <w:div w:id="1992976303">
      <w:bodyDiv w:val="1"/>
      <w:marLeft w:val="0"/>
      <w:marRight w:val="0"/>
      <w:marTop w:val="0"/>
      <w:marBottom w:val="0"/>
      <w:divBdr>
        <w:top w:val="none" w:sz="0" w:space="0" w:color="auto"/>
        <w:left w:val="none" w:sz="0" w:space="0" w:color="auto"/>
        <w:bottom w:val="none" w:sz="0" w:space="0" w:color="auto"/>
        <w:right w:val="none" w:sz="0" w:space="0" w:color="auto"/>
      </w:divBdr>
    </w:div>
    <w:div w:id="2021882222">
      <w:bodyDiv w:val="1"/>
      <w:marLeft w:val="0"/>
      <w:marRight w:val="0"/>
      <w:marTop w:val="0"/>
      <w:marBottom w:val="0"/>
      <w:divBdr>
        <w:top w:val="none" w:sz="0" w:space="0" w:color="auto"/>
        <w:left w:val="none" w:sz="0" w:space="0" w:color="auto"/>
        <w:bottom w:val="none" w:sz="0" w:space="0" w:color="auto"/>
        <w:right w:val="none" w:sz="0" w:space="0" w:color="auto"/>
      </w:divBdr>
    </w:div>
    <w:div w:id="2031175989">
      <w:bodyDiv w:val="1"/>
      <w:marLeft w:val="0"/>
      <w:marRight w:val="0"/>
      <w:marTop w:val="0"/>
      <w:marBottom w:val="0"/>
      <w:divBdr>
        <w:top w:val="none" w:sz="0" w:space="0" w:color="auto"/>
        <w:left w:val="none" w:sz="0" w:space="0" w:color="auto"/>
        <w:bottom w:val="none" w:sz="0" w:space="0" w:color="auto"/>
        <w:right w:val="none" w:sz="0" w:space="0" w:color="auto"/>
      </w:divBdr>
    </w:div>
    <w:div w:id="2076246199">
      <w:bodyDiv w:val="1"/>
      <w:marLeft w:val="0"/>
      <w:marRight w:val="0"/>
      <w:marTop w:val="0"/>
      <w:marBottom w:val="0"/>
      <w:divBdr>
        <w:top w:val="none" w:sz="0" w:space="0" w:color="auto"/>
        <w:left w:val="none" w:sz="0" w:space="0" w:color="auto"/>
        <w:bottom w:val="none" w:sz="0" w:space="0" w:color="auto"/>
        <w:right w:val="none" w:sz="0" w:space="0" w:color="auto"/>
      </w:divBdr>
    </w:div>
    <w:div w:id="2110587338">
      <w:bodyDiv w:val="1"/>
      <w:marLeft w:val="0"/>
      <w:marRight w:val="0"/>
      <w:marTop w:val="0"/>
      <w:marBottom w:val="0"/>
      <w:divBdr>
        <w:top w:val="none" w:sz="0" w:space="0" w:color="auto"/>
        <w:left w:val="none" w:sz="0" w:space="0" w:color="auto"/>
        <w:bottom w:val="none" w:sz="0" w:space="0" w:color="auto"/>
        <w:right w:val="none" w:sz="0" w:space="0" w:color="auto"/>
      </w:divBdr>
    </w:div>
    <w:div w:id="2116947623">
      <w:bodyDiv w:val="1"/>
      <w:marLeft w:val="0"/>
      <w:marRight w:val="0"/>
      <w:marTop w:val="0"/>
      <w:marBottom w:val="0"/>
      <w:divBdr>
        <w:top w:val="none" w:sz="0" w:space="0" w:color="auto"/>
        <w:left w:val="none" w:sz="0" w:space="0" w:color="auto"/>
        <w:bottom w:val="none" w:sz="0" w:space="0" w:color="auto"/>
        <w:right w:val="none" w:sz="0" w:space="0" w:color="auto"/>
      </w:divBdr>
    </w:div>
    <w:div w:id="21391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fca.org.uk/firms/insurance-distribution-directive/idd-general-good-requirements" TargetMode="External"/><Relationship Id="rId26" Type="http://schemas.openxmlformats.org/officeDocument/2006/relationships/hyperlink" Target="https://www.ecb.europa.eu/press/key/date/2019/html/ecb.sp191126~5230672c11.en.html" TargetMode="External"/><Relationship Id="rId39" Type="http://schemas.openxmlformats.org/officeDocument/2006/relationships/hyperlink" Target="https://data.consilium.europa.eu/doc/document/ST-14354-2019-INIT/en/pdf" TargetMode="External"/><Relationship Id="rId3" Type="http://schemas.openxmlformats.org/officeDocument/2006/relationships/customXml" Target="../customXml/item3.xml"/><Relationship Id="rId21" Type="http://schemas.openxmlformats.org/officeDocument/2006/relationships/hyperlink" Target="https://data.consilium.europa.eu/doc/document/PE-86-2019-REV-1/en/pdf" TargetMode="External"/><Relationship Id="rId34" Type="http://schemas.openxmlformats.org/officeDocument/2006/relationships/hyperlink" Target="https://data.consilium.europa.eu/doc/document/PE-90-2019-REV-1/en/pdf" TargetMode="External"/><Relationship Id="rId42" Type="http://schemas.openxmlformats.org/officeDocument/2006/relationships/hyperlink" Target="https://www.fsb.org/wp-content/uploads/P221119-1.pdf"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1.jpg@01CF4774.2B73C6E0" TargetMode="External"/><Relationship Id="rId17" Type="http://schemas.openxmlformats.org/officeDocument/2006/relationships/hyperlink" Target="https://www.ukfinance.org.uk/press/press-releases/app-scams-voluntary-code-seven-launch" TargetMode="External"/><Relationship Id="rId25" Type="http://schemas.openxmlformats.org/officeDocument/2006/relationships/hyperlink" Target="https://www.bankofengland.co.uk/-/media/boe/files/minutes/2019/rfr-september-2019.pdf" TargetMode="External"/><Relationship Id="rId33" Type="http://schemas.openxmlformats.org/officeDocument/2006/relationships/hyperlink" Target="https://eba.europa.eu/sites/default/documents/files/document_library/Publications/Consultations/2020/CP%20on%20ITS%20on%20disclosure%20and%20reporting%20of%20MREL%20and%20TLAC/Consultation%20paper%20on%20the%20ITS%20on%20disclosure%20and%20reporting%20of%20MREL%20and%20TLAC.pdf" TargetMode="External"/><Relationship Id="rId38" Type="http://schemas.openxmlformats.org/officeDocument/2006/relationships/hyperlink" Target="https://eur-lex.europa.eu/legal-content/EN/TXT/PDF/?uri=OJ:L:2019:305:FULL&amp;from=EN"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oinvestigationsinsight.com/from-enabler-to-game-changer-fighting-financial-crime-with-technology/" TargetMode="External"/><Relationship Id="rId20" Type="http://schemas.openxmlformats.org/officeDocument/2006/relationships/hyperlink" Target="https://data.consilium.europa.eu/doc/document/PE-85-2019-REV-1/en/pdf" TargetMode="External"/><Relationship Id="rId29" Type="http://schemas.openxmlformats.org/officeDocument/2006/relationships/hyperlink" Target="https://data.consilium.europa.eu/doc/document/PE-80-2019-REV-1/en/pdf" TargetMode="External"/><Relationship Id="rId41" Type="http://schemas.openxmlformats.org/officeDocument/2006/relationships/hyperlink" Target="https://www.fca.org.uk/publication/handbook/handbook-notice-71.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s://www.bankofengland.co.uk/-/media/boe/files/minutes/2019/fxjsc-legal-sub-committee-september-2019.pdf" TargetMode="External"/><Relationship Id="rId32" Type="http://schemas.openxmlformats.org/officeDocument/2006/relationships/hyperlink" Target="https://www.bankingsupervision.europa.eu/press/letterstobanks/shared/pdf/2019/ssm.TRIM_information_leteter_201911.en.pdf" TargetMode="External"/><Relationship Id="rId37" Type="http://schemas.openxmlformats.org/officeDocument/2006/relationships/hyperlink" Target="https://www.consilium.europa.eu/en/press/press-releases/2019/11/27/non-performing-loans-council-adopts-position-on-a-new-mechanism-for-out-of-court-enforcement/" TargetMode="External"/><Relationship Id="rId40" Type="http://schemas.openxmlformats.org/officeDocument/2006/relationships/hyperlink" Target="https://www.fca.org.uk/publication/policy/ps19-28.pdf"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fca.org.uk/publication/tpi/temporary-intervention-marketing-speculative-mini-bonds-retail-investors.pdf" TargetMode="External"/><Relationship Id="rId23" Type="http://schemas.openxmlformats.org/officeDocument/2006/relationships/hyperlink" Target="https://www.fsb.org/wp-content/uploads/P261119-1.pdf" TargetMode="External"/><Relationship Id="rId28" Type="http://schemas.openxmlformats.org/officeDocument/2006/relationships/hyperlink" Target="https://data.consilium.europa.eu/doc/document/PE-79-2019-REV-1/en/pdf" TargetMode="External"/><Relationship Id="rId36" Type="http://schemas.openxmlformats.org/officeDocument/2006/relationships/hyperlink" Target="file:///\\omnia.aoglobal.com\Europe\LN\Home1\BoydCl\My%20Documents\Downloads\Final%20Guidelines%20on%20ICT%20and%20security%20risk%20management.pdf"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ur-lex.europa.eu/legal-content/EN/TXT/PDF/?uri=CELEX:32019R1935&amp;from=EN" TargetMode="External"/><Relationship Id="rId31" Type="http://schemas.openxmlformats.org/officeDocument/2006/relationships/hyperlink" Target="https://www.bis.org/publ/bcbs_nl23.htm"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fca.org.uk/firms/financial-promotions-and-adverts/approving-financial-promotions" TargetMode="External"/><Relationship Id="rId22" Type="http://schemas.openxmlformats.org/officeDocument/2006/relationships/hyperlink" Target="https://data.consilium.europa.eu/doc/document/PE-89-2019-REV-1/en/pdf" TargetMode="External"/><Relationship Id="rId27" Type="http://schemas.openxmlformats.org/officeDocument/2006/relationships/hyperlink" Target="https://www.bis.org/bcbs/publ/d488.pdf" TargetMode="External"/><Relationship Id="rId30" Type="http://schemas.openxmlformats.org/officeDocument/2006/relationships/hyperlink" Target="https://www.bis.org/bcbs/publ/d487.pdf" TargetMode="External"/><Relationship Id="rId35" Type="http://schemas.openxmlformats.org/officeDocument/2006/relationships/hyperlink" Target="https://data.consilium.europa.eu/doc/document/PE-87-2019-REV-1/en/pdf" TargetMode="External"/><Relationship Id="rId43" Type="http://schemas.openxmlformats.org/officeDocument/2006/relationships/hyperlink" Target="https://www.fsb.org/wp-content/uploads/P221119-1.pdf"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9-11-24T09-45-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2.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A9DC-C7F2-43E4-9E2C-667F9CBEA939}">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sharepoint/v3"/>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DDADF-6647-4C20-B072-A1642415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AODocument.dotm</Template>
  <TotalTime>31</TotalTime>
  <Pages>6</Pages>
  <Words>3506</Words>
  <Characters>19145</Characters>
  <Application>Microsoft Office Word</Application>
  <DocSecurity>0</DocSecurity>
  <Lines>341</Lines>
  <Paragraphs>135</Paragraphs>
  <ScaleCrop>false</ScaleCrop>
  <HeadingPairs>
    <vt:vector size="2" baseType="variant">
      <vt:variant>
        <vt:lpstr>Title</vt:lpstr>
      </vt:variant>
      <vt:variant>
        <vt:i4>1</vt:i4>
      </vt:variant>
    </vt:vector>
  </HeadingPairs>
  <TitlesOfParts>
    <vt:vector size="1" baseType="lpstr">
      <vt:lpstr>AODocument</vt:lpstr>
    </vt:vector>
  </TitlesOfParts>
  <Company>Allen &amp; Overy LLP</Company>
  <LinksUpToDate>false</LinksUpToDate>
  <CharactersWithSpaces>22516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creator>Allen &amp; Overy</dc:creator>
  <cp:lastModifiedBy>Allen &amp; Overy</cp:lastModifiedBy>
  <cp:revision>10</cp:revision>
  <cp:lastPrinted>2019-08-22T11:24:00Z</cp:lastPrinted>
  <dcterms:created xsi:type="dcterms:W3CDTF">2019-11-29T12:45:00Z</dcterms:created>
  <dcterms:modified xsi:type="dcterms:W3CDTF">2019-11-29T16:42:00Z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0x0101008E1931B9D01341BF82A1BE848E2F0648000D63B21F009B944AA79D7724E168C8DD</vt:lpwstr>
  </property>
  <property fmtid="{D5CDD505-2E9C-101B-9397-08002B2CF9AE}" pid="3" name="DisplayName">
    <vt:lpwstr>Document</vt:lpwstr>
  </property>
  <property fmtid="{D5CDD505-2E9C-101B-9397-08002B2CF9AE}" pid="4" name="DMProfile">
    <vt:lpwstr>Document</vt:lpwstr>
  </property>
  <property fmtid="{D5CDD505-2E9C-101B-9397-08002B2CF9AE}" pid="5" name="FilePedigree">
    <vt:lpwstr>OSAX</vt:lpwstr>
  </property>
  <property fmtid="{D5CDD505-2E9C-101B-9397-08002B2CF9AE}" pid="6" name="TemplateFileName">
    <vt:lpwstr>AODocument.dotm</vt:lpwstr>
  </property>
  <property fmtid="{D5CDD505-2E9C-101B-9397-08002B2CF9AE}" pid="7" name="OSADocumentType">
    <vt:lpwstr>1</vt:lpwstr>
  </property>
  <property fmtid="{D5CDD505-2E9C-101B-9397-08002B2CF9AE}" pid="8" name="AuthorDescription">
    <vt:lpwstr>Matteo Baratta</vt:lpwstr>
  </property>
  <property fmtid="{D5CDD505-2E9C-101B-9397-08002B2CF9AE}" pid="9" name="AuthorName">
    <vt:lpwstr>Matteo Baratta</vt:lpwstr>
  </property>
  <property fmtid="{D5CDD505-2E9C-101B-9397-08002B2CF9AE}" pid="10" name="AuthorInitials">
    <vt:lpwstr>MTOB</vt:lpwstr>
  </property>
  <property fmtid="{D5CDD505-2E9C-101B-9397-08002B2CF9AE}" pid="11" name="AuthorJobTitle">
    <vt:lpwstr>Paralegal</vt:lpwstr>
  </property>
  <property fmtid="{D5CDD505-2E9C-101B-9397-08002B2CF9AE}" pid="12" name="AuthorEmail">
    <vt:lpwstr>matteo-vincenzo.baratta@allenovery.com</vt:lpwstr>
  </property>
  <property fmtid="{D5CDD505-2E9C-101B-9397-08002B2CF9AE}" pid="13" name="AuthorDirectLine">
    <vt:lpwstr>1283</vt:lpwstr>
  </property>
  <property fmtid="{D5CDD505-2E9C-101B-9397-08002B2CF9AE}" pid="14" name="AuthorMobilePhone">
    <vt:lpwstr>+447500465705</vt:lpwstr>
  </property>
  <property fmtid="{D5CDD505-2E9C-101B-9397-08002B2CF9AE}" pid="15" name="AuthorPersonalFax">
    <vt:lpwstr/>
  </property>
  <property fmtid="{D5CDD505-2E9C-101B-9397-08002B2CF9AE}" pid="16" name="OurRef">
    <vt:lpwstr>MTOB</vt:lpwstr>
  </property>
  <property fmtid="{D5CDD505-2E9C-101B-9397-08002B2CF9AE}" pid="17" name="LanguageID">
    <vt:lpwstr>English (UK)</vt:lpwstr>
  </property>
  <property fmtid="{D5CDD505-2E9C-101B-9397-08002B2CF9AE}" pid="18" name="OfficeID">
    <vt:lpwstr>London</vt:lpwstr>
  </property>
  <property fmtid="{D5CDD505-2E9C-101B-9397-08002B2CF9AE}" pid="19" name="TemplateName">
    <vt:lpwstr>AODocument.dotm</vt:lpwstr>
  </property>
  <property fmtid="{D5CDD505-2E9C-101B-9397-08002B2CF9AE}" pid="20" name="cpFooterText">
    <vt:lpwstr> </vt:lpwstr>
  </property>
  <property fmtid="{D5CDD505-2E9C-101B-9397-08002B2CF9AE}" pid="21" name="cpHeaderText">
    <vt:lpwstr> </vt:lpwstr>
  </property>
  <property fmtid="{D5CDD505-2E9C-101B-9397-08002B2CF9AE}" pid="22" name="Client">
    <vt:lpwstr>0010023</vt:lpwstr>
  </property>
  <property fmtid="{D5CDD505-2E9C-101B-9397-08002B2CF9AE}" pid="23" name="Matter">
    <vt:lpwstr>0024973</vt:lpwstr>
  </property>
  <property fmtid="{D5CDD505-2E9C-101B-9397-08002B2CF9AE}" pid="24" name="cpClientMatter">
    <vt:lpwstr>0010023-0024973</vt:lpwstr>
  </property>
  <property fmtid="{D5CDD505-2E9C-101B-9397-08002B2CF9AE}" pid="25" name="cpDocRef">
    <vt:lpwstr>BK:51640892.3</vt:lpwstr>
  </property>
  <property fmtid="{D5CDD505-2E9C-101B-9397-08002B2CF9AE}" pid="26" name="cpCombinedRef">
    <vt:lpwstr>0010023-0024973 BK:51640892.3</vt:lpwstr>
  </property>
</Properties>
</file>