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A6" w:rsidRDefault="00D75BA6" w:rsidP="00D75BA6">
      <w:pPr>
        <w:pStyle w:val="AODocTxt"/>
      </w:pPr>
    </w:p>
    <w:p w:rsidR="00D75BA6" w:rsidRDefault="00D75BA6" w:rsidP="00D75BA6">
      <w:pPr>
        <w:rPr>
          <w:rFonts w:ascii="Arial" w:hAnsi="Arial" w:cs="Arial"/>
          <w:color w:val="B23427"/>
          <w:sz w:val="56"/>
          <w:szCs w:val="56"/>
        </w:rPr>
      </w:pPr>
      <w:r w:rsidRPr="00485417">
        <w:rPr>
          <w:rFonts w:ascii="Arial" w:hAnsi="Arial" w:cs="Arial"/>
          <w:noProof/>
          <w:color w:val="B23427"/>
          <w:sz w:val="56"/>
          <w:szCs w:val="56"/>
          <w:lang w:eastAsia="en-GB"/>
        </w:rPr>
        <w:drawing>
          <wp:anchor distT="0" distB="0" distL="114300" distR="114300" simplePos="0" relativeHeight="251659264" behindDoc="1" locked="0" layoutInCell="1" allowOverlap="1" wp14:anchorId="0F5798B7" wp14:editId="2E8A6BF7">
            <wp:simplePos x="0" y="0"/>
            <wp:positionH relativeFrom="column">
              <wp:posOffset>3648075</wp:posOffset>
            </wp:positionH>
            <wp:positionV relativeFrom="paragraph">
              <wp:posOffset>-57150</wp:posOffset>
            </wp:positionV>
            <wp:extent cx="2665730" cy="2419350"/>
            <wp:effectExtent l="0" t="0" r="1270" b="0"/>
            <wp:wrapSquare wrapText="bothSides"/>
            <wp:docPr id="1" name="Picture 1" descr="cid:image001.jpg@01CF4772.FE2A6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jpg@01CF4772.FE2A69B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66204"/>
                    <a:stretch/>
                  </pic:blipFill>
                  <pic:spPr bwMode="auto">
                    <a:xfrm>
                      <a:off x="0" y="0"/>
                      <a:ext cx="266573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B23427"/>
          <w:sz w:val="56"/>
          <w:szCs w:val="56"/>
          <w:lang w:eastAsia="en-GB"/>
        </w:rPr>
        <w:drawing>
          <wp:inline distT="0" distB="0" distL="0" distR="0" wp14:anchorId="0F5CA126" wp14:editId="6F9EEE0B">
            <wp:extent cx="3571875" cy="710507"/>
            <wp:effectExtent l="0" t="0" r="0" b="0"/>
            <wp:docPr id="2" name="Picture 2" descr="\\omnia.aoglobal.com\Europe\BL\Home\TumilsoP\My Documents\Pictures\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nia.aoglobal.com\Europe\BL\Home\TumilsoP\My Documents\Pictures\123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24"/>
                    <a:stretch/>
                  </pic:blipFill>
                  <pic:spPr bwMode="auto">
                    <a:xfrm>
                      <a:off x="0" y="0"/>
                      <a:ext cx="3571875" cy="710507"/>
                    </a:xfrm>
                    <a:prstGeom prst="rect">
                      <a:avLst/>
                    </a:prstGeom>
                    <a:noFill/>
                    <a:ln>
                      <a:noFill/>
                    </a:ln>
                    <a:extLst>
                      <a:ext uri="{53640926-AAD7-44D8-BBD7-CCE9431645EC}">
                        <a14:shadowObscured xmlns:a14="http://schemas.microsoft.com/office/drawing/2010/main"/>
                      </a:ext>
                    </a:extLst>
                  </pic:spPr>
                </pic:pic>
              </a:graphicData>
            </a:graphic>
          </wp:inline>
        </w:drawing>
      </w:r>
    </w:p>
    <w:p w:rsidR="00D75BA6" w:rsidRPr="000C53AA" w:rsidRDefault="00D75BA6" w:rsidP="00D75BA6">
      <w:pPr>
        <w:pStyle w:val="SubHeading2"/>
        <w:rPr>
          <w:color w:val="auto"/>
        </w:rPr>
      </w:pPr>
      <w:r>
        <w:rPr>
          <w:color w:val="auto"/>
        </w:rPr>
        <w:t>Key Regulatory Topics:</w:t>
      </w:r>
      <w:r w:rsidRPr="00243639">
        <w:rPr>
          <w:color w:val="auto"/>
        </w:rPr>
        <w:t xml:space="preserve"> Weekly Update</w:t>
      </w:r>
    </w:p>
    <w:p w:rsidR="00D75BA6" w:rsidRPr="006031DD" w:rsidRDefault="0006427C" w:rsidP="00D75BA6">
      <w:pPr>
        <w:pStyle w:val="SubHeading2"/>
        <w:rPr>
          <w:color w:val="auto"/>
        </w:rPr>
      </w:pPr>
      <w:r>
        <w:rPr>
          <w:color w:val="auto"/>
          <w:sz w:val="22"/>
          <w:szCs w:val="22"/>
        </w:rPr>
        <w:t xml:space="preserve">1 November </w:t>
      </w:r>
      <w:r w:rsidR="00D75BA6">
        <w:rPr>
          <w:color w:val="auto"/>
          <w:sz w:val="22"/>
          <w:szCs w:val="22"/>
        </w:rPr>
        <w:t xml:space="preserve">2019 – </w:t>
      </w:r>
      <w:r>
        <w:rPr>
          <w:color w:val="auto"/>
          <w:sz w:val="22"/>
          <w:szCs w:val="22"/>
        </w:rPr>
        <w:t>7 November 2</w:t>
      </w:r>
      <w:r w:rsidR="00D75BA6">
        <w:rPr>
          <w:color w:val="auto"/>
          <w:sz w:val="22"/>
          <w:szCs w:val="22"/>
        </w:rPr>
        <w:t>019</w:t>
      </w:r>
    </w:p>
    <w:p w:rsidR="00D75BA6" w:rsidRDefault="00D75BA6" w:rsidP="00D75BA6">
      <w:pPr>
        <w:rPr>
          <w:rFonts w:ascii="Arial" w:eastAsia="SimSun" w:hAnsi="Arial" w:cs="Arial"/>
          <w:b/>
          <w:bCs/>
          <w:color w:val="800000"/>
          <w:sz w:val="20"/>
          <w:lang w:eastAsia="zh-CN"/>
        </w:rPr>
      </w:pPr>
    </w:p>
    <w:p w:rsidR="00D75BA6" w:rsidRDefault="00D75BA6" w:rsidP="00D75BA6">
      <w:pPr>
        <w:rPr>
          <w:rFonts w:ascii="Arial" w:eastAsia="SimSun" w:hAnsi="Arial" w:cs="Arial"/>
          <w:b/>
          <w:bCs/>
          <w:color w:val="800000"/>
          <w:sz w:val="20"/>
          <w:lang w:eastAsia="zh-CN"/>
        </w:rPr>
      </w:pPr>
    </w:p>
    <w:p w:rsidR="00D75BA6" w:rsidRDefault="00D75BA6" w:rsidP="00D75BA6">
      <w:pPr>
        <w:rPr>
          <w:rFonts w:ascii="Arial" w:eastAsia="SimSun" w:hAnsi="Arial" w:cs="Arial"/>
          <w:b/>
          <w:bCs/>
          <w:color w:val="800000"/>
          <w:sz w:val="20"/>
          <w:lang w:eastAsia="zh-CN"/>
        </w:rPr>
      </w:pPr>
    </w:p>
    <w:p w:rsidR="005B14DA" w:rsidRDefault="005B14DA" w:rsidP="00D75BA6">
      <w:pPr>
        <w:rPr>
          <w:rFonts w:ascii="Arial" w:eastAsia="SimSun" w:hAnsi="Arial" w:cs="Arial"/>
          <w:b/>
          <w:bCs/>
          <w:color w:val="800000"/>
          <w:sz w:val="20"/>
          <w:lang w:eastAsia="zh-CN"/>
        </w:rPr>
      </w:pPr>
    </w:p>
    <w:p w:rsidR="005B14DA" w:rsidRDefault="005B14DA" w:rsidP="00D75BA6">
      <w:pPr>
        <w:rPr>
          <w:rFonts w:ascii="Arial" w:eastAsia="SimSun" w:hAnsi="Arial" w:cs="Arial"/>
          <w:b/>
          <w:bCs/>
          <w:color w:val="800000"/>
          <w:sz w:val="20"/>
          <w:lang w:eastAsia="zh-CN"/>
        </w:rPr>
      </w:pPr>
    </w:p>
    <w:p w:rsidR="005B14DA" w:rsidRDefault="005B14DA" w:rsidP="00D75BA6">
      <w:pPr>
        <w:rPr>
          <w:rFonts w:ascii="Arial" w:eastAsia="SimSun" w:hAnsi="Arial" w:cs="Arial"/>
          <w:b/>
          <w:bCs/>
          <w:color w:val="800000"/>
          <w:sz w:val="20"/>
          <w:lang w:eastAsia="zh-CN"/>
        </w:rPr>
      </w:pPr>
    </w:p>
    <w:p w:rsidR="005B14DA" w:rsidRDefault="005B14DA" w:rsidP="00D75BA6">
      <w:pPr>
        <w:rPr>
          <w:rFonts w:ascii="Arial" w:eastAsia="SimSun" w:hAnsi="Arial" w:cs="Arial"/>
          <w:b/>
          <w:bCs/>
          <w:color w:val="800000"/>
          <w:sz w:val="20"/>
          <w:lang w:eastAsia="zh-CN"/>
        </w:rPr>
      </w:pPr>
    </w:p>
    <w:p w:rsidR="00CC7B71" w:rsidRPr="00C933BD" w:rsidRDefault="00CC7B71" w:rsidP="00CC7B71">
      <w:pPr>
        <w:rPr>
          <w:rFonts w:ascii="Arial" w:eastAsia="SimSun" w:hAnsi="Arial" w:cs="Arial"/>
          <w:b/>
          <w:bCs/>
          <w:color w:val="800000"/>
          <w:sz w:val="20"/>
          <w:lang w:eastAsia="zh-CN"/>
        </w:rPr>
      </w:pPr>
      <w:bookmarkStart w:id="0" w:name="_GoBack"/>
      <w:bookmarkEnd w:id="0"/>
      <w:r>
        <w:rPr>
          <w:rFonts w:ascii="Arial" w:eastAsia="SimSun" w:hAnsi="Arial" w:cs="Arial"/>
          <w:b/>
          <w:bCs/>
          <w:color w:val="800000"/>
          <w:sz w:val="20"/>
          <w:szCs w:val="20"/>
          <w:lang w:eastAsia="zh-CN"/>
        </w:rPr>
        <w:t>BREXIT</w:t>
      </w:r>
    </w:p>
    <w:p w:rsidR="00CC7B71" w:rsidRDefault="00CC7B71" w:rsidP="00CC7B71">
      <w:pPr>
        <w:rPr>
          <w:rFonts w:ascii="Arial" w:eastAsia="SimSun" w:hAnsi="Arial" w:cs="Arial"/>
          <w:bCs/>
          <w:sz w:val="20"/>
          <w:lang w:eastAsia="zh-CN"/>
        </w:rPr>
      </w:pPr>
      <w:r w:rsidRPr="00BD7DA1">
        <w:rPr>
          <w:rFonts w:ascii="Arial" w:eastAsia="SimSun" w:hAnsi="Arial" w:cs="Arial"/>
          <w:bCs/>
          <w:sz w:val="20"/>
          <w:lang w:eastAsia="zh-CN"/>
        </w:rPr>
        <w:t> </w:t>
      </w:r>
    </w:p>
    <w:p w:rsidR="000A219C" w:rsidRPr="000A219C" w:rsidRDefault="000A219C" w:rsidP="000A219C">
      <w:pPr>
        <w:rPr>
          <w:rFonts w:ascii="Arial" w:eastAsia="SimSun" w:hAnsi="Arial" w:cs="Arial"/>
          <w:b/>
          <w:bCs/>
          <w:sz w:val="20"/>
          <w:lang w:eastAsia="zh-CN"/>
        </w:rPr>
      </w:pPr>
      <w:r w:rsidRPr="000A219C">
        <w:rPr>
          <w:rFonts w:ascii="Arial" w:eastAsia="SimSun" w:hAnsi="Arial" w:cs="Arial"/>
          <w:b/>
          <w:bCs/>
          <w:sz w:val="20"/>
          <w:lang w:eastAsia="zh-CN"/>
        </w:rPr>
        <w:t xml:space="preserve">UK EMIR validation rules released alongside update guidelines for reporting derivatives </w:t>
      </w:r>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 xml:space="preserve">On 7 November, the FCA announced the publication of </w:t>
      </w:r>
      <w:r w:rsidRPr="000A219C">
        <w:rPr>
          <w:rFonts w:ascii="Arial" w:eastAsia="SimSun" w:hAnsi="Arial" w:cs="Arial"/>
          <w:bCs/>
          <w:iCs/>
          <w:sz w:val="20"/>
          <w:lang w:eastAsia="zh-CN"/>
        </w:rPr>
        <w:t>UK EMIR validation rules</w:t>
      </w:r>
      <w:r w:rsidRPr="000A219C">
        <w:rPr>
          <w:rFonts w:ascii="Arial" w:eastAsia="SimSun" w:hAnsi="Arial" w:cs="Arial"/>
          <w:bCs/>
          <w:sz w:val="20"/>
          <w:lang w:eastAsia="zh-CN"/>
        </w:rPr>
        <w:t xml:space="preserve">. With regards to the reporting of derivatives the FCA states that, should a no-deal </w:t>
      </w:r>
      <w:proofErr w:type="spellStart"/>
      <w:r w:rsidRPr="000A219C">
        <w:rPr>
          <w:rFonts w:ascii="Arial" w:eastAsia="SimSun" w:hAnsi="Arial" w:cs="Arial"/>
          <w:bCs/>
          <w:sz w:val="20"/>
          <w:lang w:eastAsia="zh-CN"/>
        </w:rPr>
        <w:t>Brexit</w:t>
      </w:r>
      <w:proofErr w:type="spellEnd"/>
      <w:r w:rsidRPr="000A219C">
        <w:rPr>
          <w:rFonts w:ascii="Arial" w:eastAsia="SimSun" w:hAnsi="Arial" w:cs="Arial"/>
          <w:bCs/>
          <w:sz w:val="20"/>
          <w:lang w:eastAsia="zh-CN"/>
        </w:rPr>
        <w:t xml:space="preserve"> occur, UK reporting counterparties and UK trade repositories (TRs) should use these rules when submitting derivative transactions from 11pm on 31 January 2020 onwards. Post-</w:t>
      </w:r>
      <w:proofErr w:type="spellStart"/>
      <w:r w:rsidRPr="000A219C">
        <w:rPr>
          <w:rFonts w:ascii="Arial" w:eastAsia="SimSun" w:hAnsi="Arial" w:cs="Arial"/>
          <w:bCs/>
          <w:sz w:val="20"/>
          <w:lang w:eastAsia="zh-CN"/>
        </w:rPr>
        <w:t>Brexit</w:t>
      </w:r>
      <w:proofErr w:type="spellEnd"/>
      <w:r w:rsidRPr="000A219C">
        <w:rPr>
          <w:rFonts w:ascii="Arial" w:eastAsia="SimSun" w:hAnsi="Arial" w:cs="Arial"/>
          <w:bCs/>
          <w:sz w:val="20"/>
          <w:lang w:eastAsia="zh-CN"/>
        </w:rPr>
        <w:t>, UK counterparties will need to report details of their derivative trades to an FCA-registered, or recognised, TR. UK TRs will also need to grant UK authorities access to data reported to them by UK counterparties. The FCA has decided not to grant transitional relief in relation to these requirements.</w:t>
      </w:r>
    </w:p>
    <w:p w:rsidR="000A219C" w:rsidRPr="000A219C" w:rsidRDefault="00213A05" w:rsidP="000A219C">
      <w:pPr>
        <w:rPr>
          <w:rFonts w:ascii="Arial" w:eastAsia="SimSun" w:hAnsi="Arial" w:cs="Arial"/>
          <w:bCs/>
          <w:sz w:val="20"/>
          <w:lang w:eastAsia="zh-CN"/>
        </w:rPr>
      </w:pPr>
      <w:hyperlink r:id="rId14" w:history="1">
        <w:r w:rsidR="000A219C" w:rsidRPr="000A219C">
          <w:rPr>
            <w:rStyle w:val="Hyperlink"/>
            <w:rFonts w:ascii="Arial" w:eastAsia="SimSun" w:hAnsi="Arial" w:cs="Arial"/>
            <w:bCs/>
            <w:sz w:val="20"/>
            <w:lang w:eastAsia="zh-CN"/>
          </w:rPr>
          <w:t>Read more</w:t>
        </w:r>
      </w:hyperlink>
    </w:p>
    <w:p w:rsidR="000A219C" w:rsidRDefault="000A219C" w:rsidP="00BA43DE">
      <w:pPr>
        <w:rPr>
          <w:rFonts w:ascii="Arial" w:eastAsia="SimSun" w:hAnsi="Arial" w:cs="Arial"/>
          <w:b/>
          <w:bCs/>
          <w:sz w:val="20"/>
          <w:lang w:eastAsia="zh-CN"/>
        </w:rPr>
      </w:pPr>
    </w:p>
    <w:p w:rsidR="000A219C" w:rsidRPr="000A219C" w:rsidRDefault="000A219C" w:rsidP="000A219C">
      <w:pPr>
        <w:rPr>
          <w:rFonts w:ascii="Arial" w:eastAsia="SimSun" w:hAnsi="Arial" w:cs="Arial"/>
          <w:b/>
          <w:bCs/>
          <w:sz w:val="20"/>
          <w:lang w:eastAsia="zh-CN"/>
        </w:rPr>
      </w:pPr>
      <w:r w:rsidRPr="000A219C">
        <w:rPr>
          <w:rFonts w:ascii="Arial" w:eastAsia="SimSun" w:hAnsi="Arial" w:cs="Arial"/>
          <w:b/>
          <w:bCs/>
          <w:sz w:val="20"/>
          <w:lang w:eastAsia="zh-CN"/>
        </w:rPr>
        <w:t>Amendments to the Prospectus Directive and Transparency Directive Equivalence Directions 2019</w:t>
      </w:r>
    </w:p>
    <w:p w:rsid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On 6 November, the Prospectus Directive and Transparency Directive Equivalence (Variation) Directions 2019 were published which make a number of minor amendments to the Prospectus Directive and Transparency Directive Equivalence Directions 2019. The changes are to reflect the repeal and replacement of the Prospective Directive (</w:t>
      </w:r>
      <w:r w:rsidRPr="000A219C">
        <w:rPr>
          <w:rFonts w:ascii="Arial" w:eastAsia="SimSun" w:hAnsi="Arial" w:cs="Arial"/>
          <w:bCs/>
          <w:iCs/>
          <w:sz w:val="20"/>
          <w:lang w:eastAsia="zh-CN"/>
        </w:rPr>
        <w:t>2003/71/EC</w:t>
      </w:r>
      <w:r w:rsidRPr="000A219C">
        <w:rPr>
          <w:rFonts w:ascii="Arial" w:eastAsia="SimSun" w:hAnsi="Arial" w:cs="Arial"/>
          <w:bCs/>
          <w:sz w:val="20"/>
          <w:lang w:eastAsia="zh-CN"/>
        </w:rPr>
        <w:t>) by the Prospectus Regulation (</w:t>
      </w:r>
      <w:r w:rsidRPr="000A219C">
        <w:rPr>
          <w:rFonts w:ascii="Arial" w:eastAsia="SimSun" w:hAnsi="Arial" w:cs="Arial"/>
          <w:bCs/>
          <w:iCs/>
          <w:sz w:val="20"/>
          <w:lang w:eastAsia="zh-CN"/>
        </w:rPr>
        <w:t>Regulation 2017/1129</w:t>
      </w:r>
      <w:r w:rsidRPr="000A219C">
        <w:rPr>
          <w:rFonts w:ascii="Arial" w:eastAsia="SimSun" w:hAnsi="Arial" w:cs="Arial"/>
          <w:bCs/>
          <w:sz w:val="20"/>
          <w:lang w:eastAsia="zh-CN"/>
        </w:rPr>
        <w:t>) with effect from 21 July. The ame</w:t>
      </w:r>
      <w:r>
        <w:rPr>
          <w:rFonts w:ascii="Arial" w:eastAsia="SimSun" w:hAnsi="Arial" w:cs="Arial"/>
          <w:bCs/>
          <w:sz w:val="20"/>
          <w:lang w:eastAsia="zh-CN"/>
        </w:rPr>
        <w:t>nding Directions are made by HMT</w:t>
      </w:r>
      <w:r w:rsidRPr="000A219C">
        <w:rPr>
          <w:rFonts w:ascii="Arial" w:eastAsia="SimSun" w:hAnsi="Arial" w:cs="Arial"/>
          <w:bCs/>
          <w:sz w:val="20"/>
          <w:lang w:eastAsia="zh-CN"/>
        </w:rPr>
        <w:t xml:space="preserve"> in exercise of the powers conferred by regulation 2(1) and paragraph 9 of Schedule 1 of the Equivalence Determinations for Financial Services and Miscellaneous Provisions (Amendment </w:t>
      </w:r>
      <w:proofErr w:type="spellStart"/>
      <w:r w:rsidRPr="000A219C">
        <w:rPr>
          <w:rFonts w:ascii="Arial" w:eastAsia="SimSun" w:hAnsi="Arial" w:cs="Arial"/>
          <w:bCs/>
          <w:sz w:val="20"/>
          <w:lang w:eastAsia="zh-CN"/>
        </w:rPr>
        <w:t>etc</w:t>
      </w:r>
      <w:proofErr w:type="spellEnd"/>
      <w:r w:rsidRPr="000A219C">
        <w:rPr>
          <w:rFonts w:ascii="Arial" w:eastAsia="SimSun" w:hAnsi="Arial" w:cs="Arial"/>
          <w:bCs/>
          <w:sz w:val="20"/>
          <w:lang w:eastAsia="zh-CN"/>
        </w:rPr>
        <w:t>) (EU Exit) Regulations 2019 (</w:t>
      </w:r>
      <w:r w:rsidRPr="000A219C">
        <w:rPr>
          <w:rFonts w:ascii="Arial" w:eastAsia="SimSun" w:hAnsi="Arial" w:cs="Arial"/>
          <w:bCs/>
          <w:iCs/>
          <w:sz w:val="20"/>
          <w:lang w:eastAsia="zh-CN"/>
        </w:rPr>
        <w:t>SI 2019/541</w:t>
      </w:r>
      <w:r w:rsidRPr="000A219C">
        <w:rPr>
          <w:rFonts w:ascii="Arial" w:eastAsia="SimSun" w:hAnsi="Arial" w:cs="Arial"/>
          <w:bCs/>
          <w:sz w:val="20"/>
          <w:lang w:eastAsia="zh-CN"/>
        </w:rPr>
        <w:t>).</w:t>
      </w:r>
    </w:p>
    <w:p w:rsidR="000A219C" w:rsidRPr="000A219C" w:rsidRDefault="00213A05" w:rsidP="000A219C">
      <w:pPr>
        <w:rPr>
          <w:rFonts w:ascii="Arial" w:eastAsia="SimSun" w:hAnsi="Arial" w:cs="Arial"/>
          <w:bCs/>
          <w:sz w:val="20"/>
          <w:lang w:eastAsia="zh-CN"/>
        </w:rPr>
      </w:pPr>
      <w:hyperlink r:id="rId15" w:history="1">
        <w:r w:rsidR="000A219C" w:rsidRPr="000A219C">
          <w:rPr>
            <w:rStyle w:val="Hyperlink"/>
            <w:rFonts w:ascii="Arial" w:eastAsia="SimSun" w:hAnsi="Arial" w:cs="Arial"/>
            <w:bCs/>
            <w:sz w:val="20"/>
            <w:lang w:eastAsia="zh-CN"/>
          </w:rPr>
          <w:t>Read more</w:t>
        </w:r>
      </w:hyperlink>
    </w:p>
    <w:p w:rsidR="000A219C" w:rsidRDefault="000A219C" w:rsidP="00BA43DE">
      <w:pPr>
        <w:rPr>
          <w:rFonts w:ascii="Arial" w:eastAsia="SimSun" w:hAnsi="Arial" w:cs="Arial"/>
          <w:b/>
          <w:bCs/>
          <w:sz w:val="20"/>
          <w:lang w:eastAsia="zh-CN"/>
        </w:rPr>
      </w:pPr>
    </w:p>
    <w:p w:rsidR="007A5719" w:rsidRPr="00BA43DE" w:rsidRDefault="00BA43DE" w:rsidP="00BA43DE">
      <w:pPr>
        <w:rPr>
          <w:rFonts w:ascii="Arial" w:eastAsia="SimSun" w:hAnsi="Arial" w:cs="Arial"/>
          <w:b/>
          <w:bCs/>
          <w:sz w:val="20"/>
          <w:lang w:eastAsia="zh-CN"/>
        </w:rPr>
      </w:pPr>
      <w:r w:rsidRPr="00BA43DE">
        <w:rPr>
          <w:rFonts w:ascii="Arial" w:eastAsia="SimSun" w:hAnsi="Arial" w:cs="Arial"/>
          <w:b/>
          <w:bCs/>
          <w:sz w:val="20"/>
          <w:lang w:eastAsia="zh-CN"/>
        </w:rPr>
        <w:t xml:space="preserve">FMLC </w:t>
      </w:r>
      <w:r w:rsidR="007A5719">
        <w:rPr>
          <w:rFonts w:ascii="Arial" w:eastAsia="SimSun" w:hAnsi="Arial" w:cs="Arial"/>
          <w:b/>
          <w:bCs/>
          <w:sz w:val="20"/>
          <w:lang w:eastAsia="zh-CN"/>
        </w:rPr>
        <w:t>consider</w:t>
      </w:r>
      <w:r w:rsidRPr="00BA43DE">
        <w:rPr>
          <w:rFonts w:ascii="Arial" w:eastAsia="SimSun" w:hAnsi="Arial" w:cs="Arial"/>
          <w:b/>
          <w:bCs/>
          <w:sz w:val="20"/>
          <w:lang w:eastAsia="zh-CN"/>
        </w:rPr>
        <w:t xml:space="preserve"> issues of uncertainty arising from </w:t>
      </w:r>
      <w:r w:rsidR="007A5719">
        <w:rPr>
          <w:rFonts w:ascii="Arial" w:eastAsia="SimSun" w:hAnsi="Arial" w:cs="Arial"/>
          <w:b/>
          <w:bCs/>
          <w:sz w:val="20"/>
          <w:lang w:eastAsia="zh-CN"/>
        </w:rPr>
        <w:t>the UK’s third-country status post-</w:t>
      </w:r>
      <w:proofErr w:type="spellStart"/>
      <w:r w:rsidRPr="00BA43DE">
        <w:rPr>
          <w:rFonts w:ascii="Arial" w:eastAsia="SimSun" w:hAnsi="Arial" w:cs="Arial"/>
          <w:b/>
          <w:bCs/>
          <w:sz w:val="20"/>
          <w:lang w:eastAsia="zh-CN"/>
        </w:rPr>
        <w:t>Brexit</w:t>
      </w:r>
      <w:proofErr w:type="spellEnd"/>
      <w:r w:rsidRPr="00BA43DE">
        <w:rPr>
          <w:rFonts w:ascii="Arial" w:eastAsia="SimSun" w:hAnsi="Arial" w:cs="Arial"/>
          <w:b/>
          <w:bCs/>
          <w:sz w:val="20"/>
          <w:lang w:eastAsia="zh-CN"/>
        </w:rPr>
        <w:t xml:space="preserve"> </w:t>
      </w:r>
    </w:p>
    <w:p w:rsidR="00BA43DE" w:rsidRPr="00BA43DE" w:rsidRDefault="00BA43DE" w:rsidP="00BA43DE">
      <w:pPr>
        <w:rPr>
          <w:rFonts w:ascii="Arial" w:eastAsia="SimSun" w:hAnsi="Arial" w:cs="Arial"/>
          <w:bCs/>
          <w:sz w:val="20"/>
          <w:lang w:eastAsia="zh-CN"/>
        </w:rPr>
      </w:pPr>
      <w:r w:rsidRPr="00BA43DE">
        <w:rPr>
          <w:rFonts w:ascii="Arial" w:eastAsia="SimSun" w:hAnsi="Arial" w:cs="Arial"/>
          <w:bCs/>
          <w:sz w:val="20"/>
          <w:lang w:eastAsia="zh-CN"/>
        </w:rPr>
        <w:t xml:space="preserve">On 5 November, the Financial Markets Law Committee (FMLC) published an </w:t>
      </w:r>
      <w:r w:rsidRPr="00B43EB9">
        <w:rPr>
          <w:rFonts w:ascii="Arial" w:eastAsia="SimSun" w:hAnsi="Arial" w:cs="Arial"/>
          <w:bCs/>
          <w:iCs/>
          <w:sz w:val="20"/>
          <w:lang w:eastAsia="zh-CN"/>
        </w:rPr>
        <w:t>addendum</w:t>
      </w:r>
      <w:r w:rsidRPr="00BA43DE">
        <w:rPr>
          <w:rFonts w:ascii="Arial" w:eastAsia="SimSun" w:hAnsi="Arial" w:cs="Arial"/>
          <w:bCs/>
          <w:sz w:val="20"/>
          <w:lang w:eastAsia="zh-CN"/>
        </w:rPr>
        <w:t xml:space="preserve"> to its July 2017 report on issues of legal uncertainty arising in the context of the UK withdrawal from the EU. The addendum builds on an assessment of the application of EU legislation to UK-based financial services providers should a </w:t>
      </w:r>
      <w:proofErr w:type="spellStart"/>
      <w:r w:rsidRPr="00BA43DE">
        <w:rPr>
          <w:rFonts w:ascii="Arial" w:eastAsia="SimSun" w:hAnsi="Arial" w:cs="Arial"/>
          <w:bCs/>
          <w:sz w:val="20"/>
          <w:lang w:eastAsia="zh-CN"/>
        </w:rPr>
        <w:t>Brexit</w:t>
      </w:r>
      <w:proofErr w:type="spellEnd"/>
      <w:r w:rsidRPr="00BA43DE">
        <w:rPr>
          <w:rFonts w:ascii="Arial" w:eastAsia="SimSun" w:hAnsi="Arial" w:cs="Arial"/>
          <w:bCs/>
          <w:sz w:val="20"/>
          <w:lang w:eastAsia="zh-CN"/>
        </w:rPr>
        <w:t>, which removed the UK’s access to the single market, occur. The addendum discussed the following; (i) key developments relating to the UK’s resulting potential status as a third county, following an exit from the single market; (ii) the impact on firms on these developments, particularly the impact of a tighter equivalence regime that is seemingly being favoured by the Commission and; (iii) proposals for a widened framework for equivalence decisions, alongside increased transparency for equivalence determinations, in order to create a stable platform for cross-border relations.</w:t>
      </w:r>
    </w:p>
    <w:bookmarkStart w:id="1" w:name="6"/>
    <w:bookmarkEnd w:id="1"/>
    <w:p w:rsidR="00BA43DE" w:rsidRDefault="00BA43DE" w:rsidP="000E2C9F">
      <w:pPr>
        <w:rPr>
          <w:rFonts w:ascii="Arial" w:eastAsia="SimSun" w:hAnsi="Arial" w:cs="Arial"/>
          <w:bCs/>
          <w:sz w:val="20"/>
          <w:lang w:eastAsia="zh-CN"/>
        </w:rPr>
      </w:pPr>
      <w:r>
        <w:rPr>
          <w:rFonts w:ascii="Arial" w:eastAsia="SimSun" w:hAnsi="Arial" w:cs="Arial"/>
          <w:bCs/>
          <w:sz w:val="20"/>
          <w:lang w:eastAsia="zh-CN"/>
        </w:rPr>
        <w:fldChar w:fldCharType="begin"/>
      </w:r>
      <w:r>
        <w:rPr>
          <w:rFonts w:ascii="Arial" w:eastAsia="SimSun" w:hAnsi="Arial" w:cs="Arial"/>
          <w:bCs/>
          <w:sz w:val="20"/>
          <w:lang w:eastAsia="zh-CN"/>
        </w:rPr>
        <w:instrText xml:space="preserve"> HYPERLINK "http://fmlc.org/wp-content/uploads/2019/11/Third-Country-paper.pdf" </w:instrText>
      </w:r>
      <w:r>
        <w:rPr>
          <w:rFonts w:ascii="Arial" w:eastAsia="SimSun" w:hAnsi="Arial" w:cs="Arial"/>
          <w:bCs/>
          <w:sz w:val="20"/>
          <w:lang w:eastAsia="zh-CN"/>
        </w:rPr>
        <w:fldChar w:fldCharType="separate"/>
      </w:r>
      <w:r w:rsidRPr="00BA43DE">
        <w:rPr>
          <w:rStyle w:val="Hyperlink"/>
          <w:rFonts w:ascii="Arial" w:eastAsia="SimSun" w:hAnsi="Arial" w:cs="Arial"/>
          <w:bCs/>
          <w:sz w:val="20"/>
          <w:lang w:eastAsia="zh-CN"/>
        </w:rPr>
        <w:t>Read more</w:t>
      </w:r>
      <w:r>
        <w:rPr>
          <w:rFonts w:ascii="Arial" w:eastAsia="SimSun" w:hAnsi="Arial" w:cs="Arial"/>
          <w:bCs/>
          <w:sz w:val="20"/>
          <w:lang w:eastAsia="zh-CN"/>
        </w:rPr>
        <w:fldChar w:fldCharType="end"/>
      </w:r>
    </w:p>
    <w:p w:rsidR="00525CC7" w:rsidRDefault="00525CC7" w:rsidP="000E2C9F">
      <w:pPr>
        <w:rPr>
          <w:rStyle w:val="Hyperlink"/>
          <w:rFonts w:ascii="Arial" w:eastAsia="SimSun" w:hAnsi="Arial" w:cs="Arial"/>
          <w:bCs/>
          <w:sz w:val="20"/>
          <w:lang w:eastAsia="zh-CN"/>
        </w:rPr>
      </w:pPr>
    </w:p>
    <w:p w:rsidR="002D5062" w:rsidRPr="00546174" w:rsidRDefault="002D5062" w:rsidP="002D5062">
      <w:pPr>
        <w:rPr>
          <w:rStyle w:val="Hyperlink"/>
          <w:rFonts w:ascii="Arial" w:eastAsia="SimSun" w:hAnsi="Arial" w:cs="Arial"/>
          <w:b/>
          <w:bCs/>
          <w:color w:val="800000"/>
          <w:sz w:val="20"/>
          <w:u w:val="none"/>
          <w:lang w:eastAsia="zh-CN"/>
        </w:rPr>
      </w:pPr>
      <w:r>
        <w:rPr>
          <w:rFonts w:ascii="Arial" w:eastAsia="SimSun" w:hAnsi="Arial" w:cs="Arial"/>
          <w:b/>
          <w:bCs/>
          <w:color w:val="800000"/>
          <w:sz w:val="20"/>
          <w:lang w:eastAsia="zh-CN"/>
        </w:rPr>
        <w:t>FINANCIAL CRIME</w:t>
      </w:r>
    </w:p>
    <w:p w:rsidR="002D5062" w:rsidRDefault="002D5062" w:rsidP="002D5062">
      <w:pPr>
        <w:rPr>
          <w:rFonts w:ascii="Arial" w:eastAsia="SimSun" w:hAnsi="Arial" w:cs="Arial"/>
          <w:bCs/>
          <w:sz w:val="20"/>
          <w:lang w:eastAsia="zh-CN"/>
        </w:rPr>
      </w:pPr>
    </w:p>
    <w:p w:rsidR="0015001A" w:rsidRPr="0015001A" w:rsidRDefault="0015001A" w:rsidP="0015001A">
      <w:pPr>
        <w:rPr>
          <w:rFonts w:ascii="Arial" w:eastAsia="SimSun" w:hAnsi="Arial" w:cs="Arial"/>
          <w:b/>
          <w:bCs/>
          <w:sz w:val="20"/>
          <w:lang w:eastAsia="zh-CN"/>
        </w:rPr>
      </w:pPr>
      <w:r w:rsidRPr="0015001A">
        <w:rPr>
          <w:rFonts w:ascii="Arial" w:eastAsia="SimSun" w:hAnsi="Arial" w:cs="Arial"/>
          <w:b/>
          <w:bCs/>
          <w:sz w:val="20"/>
          <w:lang w:eastAsia="zh-CN"/>
        </w:rPr>
        <w:t>NCA’s Suspicious Activity Reports Annual Report</w:t>
      </w:r>
    </w:p>
    <w:p w:rsidR="0015001A" w:rsidRPr="0015001A" w:rsidRDefault="0015001A" w:rsidP="00294A6A">
      <w:pPr>
        <w:autoSpaceDE w:val="0"/>
        <w:autoSpaceDN w:val="0"/>
        <w:adjustRightInd w:val="0"/>
        <w:rPr>
          <w:rFonts w:ascii="Arial" w:eastAsia="SimSun" w:hAnsi="Arial" w:cs="Arial"/>
          <w:bCs/>
          <w:sz w:val="20"/>
          <w:lang w:eastAsia="zh-CN"/>
        </w:rPr>
      </w:pPr>
      <w:r w:rsidRPr="0015001A">
        <w:rPr>
          <w:rFonts w:ascii="Arial" w:eastAsia="SimSun" w:hAnsi="Arial" w:cs="Arial"/>
          <w:bCs/>
          <w:sz w:val="20"/>
          <w:lang w:eastAsia="zh-CN"/>
        </w:rPr>
        <w:lastRenderedPageBreak/>
        <w:t>On 7 November, the NCA published its Suspicious Activity Reports (SARs) Annual Report. A record</w:t>
      </w:r>
      <w:r w:rsidR="001C7433">
        <w:rPr>
          <w:rFonts w:ascii="Arial" w:eastAsia="SimSun" w:hAnsi="Arial" w:cs="Arial"/>
          <w:bCs/>
          <w:sz w:val="20"/>
          <w:lang w:eastAsia="zh-CN"/>
        </w:rPr>
        <w:t xml:space="preserve"> number of SARs were recorded between 2018 and 20</w:t>
      </w:r>
      <w:r w:rsidRPr="0015001A">
        <w:rPr>
          <w:rFonts w:ascii="Arial" w:eastAsia="SimSun" w:hAnsi="Arial" w:cs="Arial"/>
          <w:bCs/>
          <w:sz w:val="20"/>
          <w:lang w:eastAsia="zh-CN"/>
        </w:rPr>
        <w:t>19 and the UK Financia</w:t>
      </w:r>
      <w:r w:rsidR="007A38F3">
        <w:rPr>
          <w:rFonts w:ascii="Arial" w:eastAsia="SimSun" w:hAnsi="Arial" w:cs="Arial"/>
          <w:bCs/>
          <w:sz w:val="20"/>
          <w:lang w:eastAsia="zh-CN"/>
        </w:rPr>
        <w:t xml:space="preserve">l Intelligence Unit’s (UKFIU) headcount has grown </w:t>
      </w:r>
      <w:r w:rsidRPr="0015001A">
        <w:rPr>
          <w:rFonts w:ascii="Arial" w:eastAsia="SimSun" w:hAnsi="Arial" w:cs="Arial"/>
          <w:bCs/>
          <w:sz w:val="20"/>
          <w:lang w:eastAsia="zh-CN"/>
        </w:rPr>
        <w:t>to allow for these increasing volumes of reports. The report also outlined the 2019-</w:t>
      </w:r>
      <w:r w:rsidR="00106E17">
        <w:rPr>
          <w:rFonts w:ascii="Arial" w:eastAsia="SimSun" w:hAnsi="Arial" w:cs="Arial"/>
          <w:bCs/>
          <w:sz w:val="20"/>
          <w:lang w:eastAsia="zh-CN"/>
        </w:rPr>
        <w:t>20</w:t>
      </w:r>
      <w:r w:rsidRPr="0015001A">
        <w:rPr>
          <w:rFonts w:ascii="Arial" w:eastAsia="SimSun" w:hAnsi="Arial" w:cs="Arial"/>
          <w:bCs/>
          <w:sz w:val="20"/>
          <w:lang w:eastAsia="zh-CN"/>
        </w:rPr>
        <w:t xml:space="preserve">20 strategy for the SARs reform programme. </w:t>
      </w:r>
      <w:r w:rsidR="00106E17">
        <w:rPr>
          <w:rFonts w:ascii="Arial" w:eastAsia="SimSun" w:hAnsi="Arial" w:cs="Arial"/>
          <w:bCs/>
          <w:sz w:val="20"/>
          <w:lang w:eastAsia="zh-CN"/>
        </w:rPr>
        <w:t>In t</w:t>
      </w:r>
      <w:r w:rsidRPr="0015001A">
        <w:rPr>
          <w:rFonts w:ascii="Arial" w:eastAsia="SimSun" w:hAnsi="Arial" w:cs="Arial"/>
          <w:bCs/>
          <w:sz w:val="20"/>
          <w:lang w:eastAsia="zh-CN"/>
        </w:rPr>
        <w:t>he coming year, the UKFIU aims to</w:t>
      </w:r>
      <w:r w:rsidR="00294A6A">
        <w:rPr>
          <w:rFonts w:ascii="Arial" w:eastAsia="SimSun" w:hAnsi="Arial" w:cs="Arial"/>
          <w:bCs/>
          <w:sz w:val="20"/>
          <w:lang w:eastAsia="zh-CN"/>
        </w:rPr>
        <w:t>, among other things</w:t>
      </w:r>
      <w:r w:rsidRPr="0015001A">
        <w:rPr>
          <w:rFonts w:ascii="Arial" w:eastAsia="SimSun" w:hAnsi="Arial" w:cs="Arial"/>
          <w:bCs/>
          <w:sz w:val="20"/>
          <w:lang w:eastAsia="zh-CN"/>
        </w:rPr>
        <w:t xml:space="preserve">: (i) </w:t>
      </w:r>
      <w:r w:rsidR="00106E17">
        <w:rPr>
          <w:rFonts w:ascii="Arial" w:eastAsia="SimSun" w:hAnsi="Arial" w:cs="Arial"/>
          <w:bCs/>
          <w:sz w:val="20"/>
          <w:lang w:eastAsia="zh-CN"/>
        </w:rPr>
        <w:t xml:space="preserve">further </w:t>
      </w:r>
      <w:r w:rsidRPr="0015001A">
        <w:rPr>
          <w:rFonts w:ascii="Arial" w:eastAsia="SimSun" w:hAnsi="Arial" w:cs="Arial"/>
          <w:bCs/>
          <w:sz w:val="20"/>
          <w:lang w:eastAsia="zh-CN"/>
        </w:rPr>
        <w:t xml:space="preserve">enhance </w:t>
      </w:r>
      <w:r w:rsidR="00106E17">
        <w:rPr>
          <w:rFonts w:ascii="Arial" w:eastAsia="SimSun" w:hAnsi="Arial" w:cs="Arial"/>
          <w:bCs/>
          <w:sz w:val="20"/>
          <w:lang w:eastAsia="zh-CN"/>
        </w:rPr>
        <w:t>its</w:t>
      </w:r>
      <w:r w:rsidRPr="0015001A">
        <w:rPr>
          <w:rFonts w:ascii="Arial" w:eastAsia="SimSun" w:hAnsi="Arial" w:cs="Arial"/>
          <w:bCs/>
          <w:sz w:val="20"/>
          <w:lang w:eastAsia="zh-CN"/>
        </w:rPr>
        <w:t xml:space="preserve"> </w:t>
      </w:r>
      <w:r w:rsidR="00106E17" w:rsidRPr="00106E17">
        <w:rPr>
          <w:rFonts w:ascii="Arial" w:eastAsia="SimSun" w:hAnsi="Arial" w:cs="Arial"/>
          <w:bCs/>
          <w:sz w:val="20"/>
          <w:lang w:eastAsia="zh-CN"/>
        </w:rPr>
        <w:t>international position and status</w:t>
      </w:r>
      <w:r w:rsidR="00B7772A">
        <w:rPr>
          <w:rFonts w:ascii="Arial" w:eastAsia="SimSun" w:hAnsi="Arial" w:cs="Arial"/>
          <w:bCs/>
          <w:sz w:val="20"/>
          <w:lang w:eastAsia="zh-CN"/>
        </w:rPr>
        <w:t>; (ii)</w:t>
      </w:r>
      <w:r w:rsidR="00DD42AB">
        <w:rPr>
          <w:rFonts w:ascii="Arial" w:eastAsia="SimSun" w:hAnsi="Arial" w:cs="Arial"/>
          <w:bCs/>
          <w:sz w:val="20"/>
          <w:lang w:eastAsia="zh-CN"/>
        </w:rPr>
        <w:t xml:space="preserve"> </w:t>
      </w:r>
      <w:r w:rsidR="00294A6A">
        <w:rPr>
          <w:rFonts w:ascii="Arial" w:eastAsia="SimSun" w:hAnsi="Arial" w:cs="Arial"/>
          <w:bCs/>
          <w:sz w:val="20"/>
          <w:lang w:eastAsia="zh-CN"/>
        </w:rPr>
        <w:t>increase its</w:t>
      </w:r>
      <w:r w:rsidR="00DD42AB" w:rsidRPr="00DD42AB">
        <w:rPr>
          <w:rFonts w:ascii="Arial" w:eastAsia="SimSun" w:hAnsi="Arial" w:cs="Arial"/>
          <w:bCs/>
          <w:sz w:val="20"/>
          <w:lang w:eastAsia="zh-CN"/>
        </w:rPr>
        <w:t xml:space="preserve"> presence on terrorist finance activity domestically and internationally</w:t>
      </w:r>
      <w:r w:rsidRPr="0015001A">
        <w:rPr>
          <w:rFonts w:ascii="Arial" w:eastAsia="SimSun" w:hAnsi="Arial" w:cs="Arial"/>
          <w:bCs/>
          <w:sz w:val="20"/>
          <w:lang w:eastAsia="zh-CN"/>
        </w:rPr>
        <w:t xml:space="preserve">; </w:t>
      </w:r>
      <w:r w:rsidR="00294A6A">
        <w:rPr>
          <w:rFonts w:ascii="Arial" w:eastAsia="SimSun" w:hAnsi="Arial" w:cs="Arial"/>
          <w:bCs/>
          <w:sz w:val="20"/>
          <w:lang w:eastAsia="zh-CN"/>
        </w:rPr>
        <w:t>and (ii</w:t>
      </w:r>
      <w:r w:rsidRPr="0015001A">
        <w:rPr>
          <w:rFonts w:ascii="Arial" w:eastAsia="SimSun" w:hAnsi="Arial" w:cs="Arial"/>
          <w:bCs/>
          <w:sz w:val="20"/>
          <w:lang w:eastAsia="zh-CN"/>
        </w:rPr>
        <w:t>) ensure that all UKFIU officers have</w:t>
      </w:r>
      <w:r w:rsidR="00294A6A">
        <w:rPr>
          <w:rFonts w:ascii="Arial" w:eastAsia="SimSun" w:hAnsi="Arial" w:cs="Arial"/>
          <w:bCs/>
          <w:sz w:val="20"/>
          <w:lang w:eastAsia="zh-CN"/>
        </w:rPr>
        <w:t xml:space="preserve"> </w:t>
      </w:r>
      <w:r w:rsidR="00294A6A" w:rsidRPr="00294A6A">
        <w:rPr>
          <w:rFonts w:ascii="Arial" w:eastAsia="SimSun" w:hAnsi="Arial" w:cs="Arial"/>
          <w:bCs/>
          <w:sz w:val="20"/>
          <w:lang w:eastAsia="zh-CN"/>
        </w:rPr>
        <w:t xml:space="preserve">the correct skills and capabilities in place </w:t>
      </w:r>
      <w:r w:rsidRPr="0015001A">
        <w:rPr>
          <w:rFonts w:ascii="Arial" w:eastAsia="SimSun" w:hAnsi="Arial" w:cs="Arial"/>
          <w:bCs/>
          <w:sz w:val="20"/>
          <w:lang w:eastAsia="zh-CN"/>
        </w:rPr>
        <w:t xml:space="preserve">to perform their roles effectively. </w:t>
      </w:r>
    </w:p>
    <w:p w:rsidR="0015001A" w:rsidRPr="0015001A" w:rsidRDefault="00213A05" w:rsidP="0015001A">
      <w:pPr>
        <w:rPr>
          <w:rFonts w:ascii="Arial" w:eastAsia="SimSun" w:hAnsi="Arial" w:cs="Arial"/>
          <w:bCs/>
          <w:sz w:val="20"/>
          <w:lang w:eastAsia="zh-CN"/>
        </w:rPr>
      </w:pPr>
      <w:hyperlink r:id="rId16" w:history="1">
        <w:r w:rsidR="0015001A" w:rsidRPr="0015001A">
          <w:rPr>
            <w:rStyle w:val="Hyperlink"/>
            <w:rFonts w:ascii="Arial" w:eastAsia="SimSun" w:hAnsi="Arial" w:cs="Arial"/>
            <w:bCs/>
            <w:sz w:val="20"/>
            <w:lang w:eastAsia="zh-CN"/>
          </w:rPr>
          <w:t>Read more</w:t>
        </w:r>
      </w:hyperlink>
    </w:p>
    <w:p w:rsidR="0015001A" w:rsidRDefault="0015001A" w:rsidP="002D5062">
      <w:pPr>
        <w:rPr>
          <w:rFonts w:ascii="Arial" w:eastAsia="SimSun" w:hAnsi="Arial" w:cs="Arial"/>
          <w:b/>
          <w:bCs/>
          <w:sz w:val="20"/>
          <w:lang w:eastAsia="zh-CN"/>
        </w:rPr>
      </w:pPr>
    </w:p>
    <w:p w:rsidR="002D5062" w:rsidRPr="00470F34" w:rsidRDefault="00A07EBB" w:rsidP="002D5062">
      <w:pPr>
        <w:rPr>
          <w:rFonts w:ascii="Arial" w:eastAsia="SimSun" w:hAnsi="Arial" w:cs="Arial"/>
          <w:b/>
          <w:bCs/>
          <w:sz w:val="20"/>
          <w:lang w:eastAsia="zh-CN"/>
        </w:rPr>
      </w:pPr>
      <w:r>
        <w:rPr>
          <w:rFonts w:ascii="Arial" w:eastAsia="SimSun" w:hAnsi="Arial" w:cs="Arial"/>
          <w:b/>
          <w:bCs/>
          <w:sz w:val="20"/>
          <w:lang w:eastAsia="zh-CN"/>
        </w:rPr>
        <w:t>Report on economic crime and the impact on consumers</w:t>
      </w:r>
    </w:p>
    <w:p w:rsidR="001B2E03" w:rsidRDefault="002D5062" w:rsidP="0081018B">
      <w:pPr>
        <w:rPr>
          <w:rFonts w:ascii="Arial" w:eastAsia="SimSun" w:hAnsi="Arial" w:cs="Arial"/>
          <w:bCs/>
          <w:sz w:val="20"/>
          <w:lang w:eastAsia="zh-CN"/>
        </w:rPr>
      </w:pPr>
      <w:r w:rsidRPr="00470F34">
        <w:rPr>
          <w:rFonts w:ascii="Arial" w:eastAsia="SimSun" w:hAnsi="Arial" w:cs="Arial"/>
          <w:bCs/>
          <w:sz w:val="20"/>
          <w:lang w:eastAsia="zh-CN"/>
        </w:rPr>
        <w:t xml:space="preserve">On 1 November, the Treasury Select Committee published a </w:t>
      </w:r>
      <w:r w:rsidRPr="00FB204C">
        <w:rPr>
          <w:rFonts w:ascii="Arial" w:eastAsia="SimSun" w:hAnsi="Arial" w:cs="Arial"/>
          <w:bCs/>
          <w:iCs/>
          <w:sz w:val="20"/>
          <w:lang w:eastAsia="zh-CN"/>
        </w:rPr>
        <w:t>report on economic crime</w:t>
      </w:r>
      <w:r w:rsidRPr="00FB204C">
        <w:rPr>
          <w:rFonts w:ascii="Arial" w:eastAsia="SimSun" w:hAnsi="Arial" w:cs="Arial"/>
          <w:bCs/>
          <w:sz w:val="20"/>
          <w:lang w:eastAsia="zh-CN"/>
        </w:rPr>
        <w:t>,</w:t>
      </w:r>
      <w:r w:rsidRPr="00470F34">
        <w:rPr>
          <w:rFonts w:ascii="Arial" w:eastAsia="SimSun" w:hAnsi="Arial" w:cs="Arial"/>
          <w:bCs/>
          <w:sz w:val="20"/>
          <w:lang w:eastAsia="zh-CN"/>
        </w:rPr>
        <w:t xml:space="preserve"> focusing on</w:t>
      </w:r>
      <w:r>
        <w:rPr>
          <w:rFonts w:ascii="Arial" w:eastAsia="SimSun" w:hAnsi="Arial" w:cs="Arial"/>
          <w:bCs/>
          <w:sz w:val="20"/>
          <w:lang w:eastAsia="zh-CN"/>
        </w:rPr>
        <w:t>: (i)</w:t>
      </w:r>
      <w:r w:rsidRPr="00470F34">
        <w:rPr>
          <w:rFonts w:ascii="Arial" w:eastAsia="SimSun" w:hAnsi="Arial" w:cs="Arial"/>
          <w:bCs/>
          <w:sz w:val="20"/>
          <w:lang w:eastAsia="zh-CN"/>
        </w:rPr>
        <w:t xml:space="preserve"> the scale of e</w:t>
      </w:r>
      <w:r>
        <w:rPr>
          <w:rFonts w:ascii="Arial" w:eastAsia="SimSun" w:hAnsi="Arial" w:cs="Arial"/>
          <w:bCs/>
          <w:sz w:val="20"/>
          <w:lang w:eastAsia="zh-CN"/>
        </w:rPr>
        <w:t>conomic crime;</w:t>
      </w:r>
      <w:r w:rsidRPr="00470F34">
        <w:rPr>
          <w:rFonts w:ascii="Arial" w:eastAsia="SimSun" w:hAnsi="Arial" w:cs="Arial"/>
          <w:bCs/>
          <w:sz w:val="20"/>
          <w:lang w:eastAsia="zh-CN"/>
        </w:rPr>
        <w:t xml:space="preserve"> </w:t>
      </w:r>
      <w:r>
        <w:rPr>
          <w:rFonts w:ascii="Arial" w:eastAsia="SimSun" w:hAnsi="Arial" w:cs="Arial"/>
          <w:bCs/>
          <w:sz w:val="20"/>
          <w:lang w:eastAsia="zh-CN"/>
        </w:rPr>
        <w:t xml:space="preserve">(ii) </w:t>
      </w:r>
      <w:r w:rsidRPr="00470F34">
        <w:rPr>
          <w:rFonts w:ascii="Arial" w:eastAsia="SimSun" w:hAnsi="Arial" w:cs="Arial"/>
          <w:bCs/>
          <w:sz w:val="20"/>
          <w:lang w:eastAsia="zh-CN"/>
        </w:rPr>
        <w:t xml:space="preserve">ways that financial firms are combating </w:t>
      </w:r>
      <w:r>
        <w:rPr>
          <w:rFonts w:ascii="Arial" w:eastAsia="SimSun" w:hAnsi="Arial" w:cs="Arial"/>
          <w:bCs/>
          <w:sz w:val="20"/>
          <w:lang w:eastAsia="zh-CN"/>
        </w:rPr>
        <w:t>this; (iii)</w:t>
      </w:r>
      <w:r w:rsidRPr="00470F34">
        <w:rPr>
          <w:rFonts w:ascii="Arial" w:eastAsia="SimSun" w:hAnsi="Arial" w:cs="Arial"/>
          <w:bCs/>
          <w:sz w:val="20"/>
          <w:lang w:eastAsia="zh-CN"/>
        </w:rPr>
        <w:t xml:space="preserve"> how economic crime is investigated, and</w:t>
      </w:r>
      <w:r>
        <w:rPr>
          <w:rFonts w:ascii="Arial" w:eastAsia="SimSun" w:hAnsi="Arial" w:cs="Arial"/>
          <w:bCs/>
          <w:sz w:val="20"/>
          <w:lang w:eastAsia="zh-CN"/>
        </w:rPr>
        <w:t>; (iv)</w:t>
      </w:r>
      <w:r w:rsidR="000A219C">
        <w:rPr>
          <w:rFonts w:ascii="Arial" w:eastAsia="SimSun" w:hAnsi="Arial" w:cs="Arial"/>
          <w:bCs/>
          <w:sz w:val="20"/>
          <w:lang w:eastAsia="zh-CN"/>
        </w:rPr>
        <w:t xml:space="preserve"> </w:t>
      </w:r>
      <w:r w:rsidRPr="00470F34">
        <w:rPr>
          <w:rFonts w:ascii="Arial" w:eastAsia="SimSun" w:hAnsi="Arial" w:cs="Arial"/>
          <w:bCs/>
          <w:sz w:val="20"/>
          <w:lang w:eastAsia="zh-CN"/>
        </w:rPr>
        <w:t>cons</w:t>
      </w:r>
      <w:r w:rsidR="000A219C">
        <w:rPr>
          <w:rFonts w:ascii="Arial" w:eastAsia="SimSun" w:hAnsi="Arial" w:cs="Arial"/>
          <w:bCs/>
          <w:sz w:val="20"/>
          <w:lang w:eastAsia="zh-CN"/>
        </w:rPr>
        <w:t>umers’</w:t>
      </w:r>
      <w:r w:rsidRPr="00470F34">
        <w:rPr>
          <w:rFonts w:ascii="Arial" w:eastAsia="SimSun" w:hAnsi="Arial" w:cs="Arial"/>
          <w:bCs/>
          <w:sz w:val="20"/>
          <w:lang w:eastAsia="zh-CN"/>
        </w:rPr>
        <w:t xml:space="preserve"> rights and responsibilities.</w:t>
      </w:r>
      <w:r>
        <w:rPr>
          <w:rFonts w:ascii="Arial" w:eastAsia="SimSun" w:hAnsi="Arial" w:cs="Arial"/>
          <w:bCs/>
          <w:sz w:val="20"/>
          <w:lang w:eastAsia="zh-CN"/>
        </w:rPr>
        <w:t xml:space="preserve"> </w:t>
      </w:r>
      <w:r w:rsidRPr="00470F34">
        <w:rPr>
          <w:rFonts w:ascii="Arial" w:eastAsia="SimSun" w:hAnsi="Arial" w:cs="Arial"/>
          <w:bCs/>
          <w:sz w:val="20"/>
          <w:lang w:eastAsia="zh-CN"/>
        </w:rPr>
        <w:t xml:space="preserve">The report made a number of findings and recommendations. </w:t>
      </w:r>
      <w:r>
        <w:rPr>
          <w:rFonts w:ascii="Arial" w:eastAsia="SimSun" w:hAnsi="Arial" w:cs="Arial"/>
          <w:bCs/>
          <w:sz w:val="20"/>
          <w:lang w:eastAsia="zh-CN"/>
        </w:rPr>
        <w:t xml:space="preserve">These recommendations include; (i) using statutory powers to implement Confirmation of Payee by March 2020, a tool which flags discrepancies between account names and names provided by consumers in order to prevent unauthorised fraud; (ii) creating a 24-hour delay to initial payments in order to counteract the high pressure tactics used by fraudsters; (iii) reviewing the stolen funds legislation to assess its suitability; (iv) ensuring all frauds are reported by the financial sector and ensuring transparency for consumers who report fraud regarding how their report will be used, and; (v) making the </w:t>
      </w:r>
      <w:r w:rsidR="008F3864">
        <w:rPr>
          <w:rFonts w:ascii="Arial" w:eastAsia="SimSun" w:hAnsi="Arial" w:cs="Arial"/>
          <w:bCs/>
          <w:sz w:val="20"/>
          <w:lang w:eastAsia="zh-CN"/>
        </w:rPr>
        <w:t>Contingent</w:t>
      </w:r>
      <w:r>
        <w:rPr>
          <w:rFonts w:ascii="Arial" w:eastAsia="SimSun" w:hAnsi="Arial" w:cs="Arial"/>
          <w:bCs/>
          <w:sz w:val="20"/>
          <w:lang w:eastAsia="zh-CN"/>
        </w:rPr>
        <w:t xml:space="preserve"> </w:t>
      </w:r>
      <w:r w:rsidR="008F3864">
        <w:rPr>
          <w:rFonts w:ascii="Arial" w:eastAsia="SimSun" w:hAnsi="Arial" w:cs="Arial"/>
          <w:bCs/>
          <w:sz w:val="20"/>
          <w:lang w:eastAsia="zh-CN"/>
        </w:rPr>
        <w:t>Reimbursement</w:t>
      </w:r>
      <w:r>
        <w:rPr>
          <w:rFonts w:ascii="Arial" w:eastAsia="SimSun" w:hAnsi="Arial" w:cs="Arial"/>
          <w:bCs/>
          <w:sz w:val="20"/>
          <w:lang w:eastAsia="zh-CN"/>
        </w:rPr>
        <w:t xml:space="preserve"> Model, which creates a clear framework for when financial firms should reimburse funds, compulsory. </w:t>
      </w:r>
    </w:p>
    <w:p w:rsidR="002B35DD" w:rsidRDefault="00213A05" w:rsidP="0081018B">
      <w:pPr>
        <w:rPr>
          <w:rFonts w:ascii="Arial" w:eastAsia="SimSun" w:hAnsi="Arial" w:cs="Arial"/>
          <w:bCs/>
          <w:sz w:val="20"/>
          <w:lang w:eastAsia="zh-CN"/>
        </w:rPr>
      </w:pPr>
      <w:hyperlink r:id="rId17" w:history="1">
        <w:r w:rsidR="002B35DD" w:rsidRPr="002B35DD">
          <w:rPr>
            <w:rStyle w:val="Hyperlink"/>
            <w:rFonts w:ascii="Arial" w:eastAsia="SimSun" w:hAnsi="Arial" w:cs="Arial"/>
            <w:bCs/>
            <w:sz w:val="20"/>
            <w:lang w:eastAsia="zh-CN"/>
          </w:rPr>
          <w:t>Read more</w:t>
        </w:r>
      </w:hyperlink>
    </w:p>
    <w:p w:rsidR="002B35DD" w:rsidRDefault="002B35DD" w:rsidP="0081018B">
      <w:pPr>
        <w:rPr>
          <w:rFonts w:ascii="Arial" w:eastAsia="SimSun" w:hAnsi="Arial" w:cs="Arial"/>
          <w:bCs/>
          <w:sz w:val="20"/>
          <w:lang w:eastAsia="zh-CN"/>
        </w:rPr>
      </w:pPr>
    </w:p>
    <w:p w:rsidR="001B2E03" w:rsidRDefault="001B2E03" w:rsidP="002D5062">
      <w:pPr>
        <w:rPr>
          <w:rFonts w:ascii="Arial" w:eastAsia="SimSun" w:hAnsi="Arial" w:cs="Arial"/>
          <w:b/>
          <w:bCs/>
          <w:color w:val="800000"/>
          <w:sz w:val="20"/>
          <w:lang w:eastAsia="zh-CN"/>
        </w:rPr>
      </w:pPr>
      <w:r>
        <w:rPr>
          <w:rFonts w:ascii="Arial" w:eastAsia="SimSun" w:hAnsi="Arial" w:cs="Arial"/>
          <w:b/>
          <w:bCs/>
          <w:color w:val="800000"/>
          <w:sz w:val="20"/>
          <w:lang w:eastAsia="zh-CN"/>
        </w:rPr>
        <w:t>FINTECH</w:t>
      </w:r>
    </w:p>
    <w:p w:rsidR="001B2E03" w:rsidRDefault="001B2E03" w:rsidP="002D5062">
      <w:pPr>
        <w:rPr>
          <w:rFonts w:ascii="Arial" w:eastAsia="SimSun" w:hAnsi="Arial" w:cs="Arial"/>
          <w:b/>
          <w:bCs/>
          <w:color w:val="800000"/>
          <w:sz w:val="20"/>
          <w:lang w:eastAsia="zh-CN"/>
        </w:rPr>
      </w:pPr>
    </w:p>
    <w:p w:rsidR="0063641E" w:rsidRPr="0063641E" w:rsidRDefault="0063641E" w:rsidP="0063641E">
      <w:pPr>
        <w:rPr>
          <w:rFonts w:ascii="Arial" w:eastAsia="SimSun" w:hAnsi="Arial" w:cs="Arial"/>
          <w:bCs/>
          <w:sz w:val="20"/>
          <w:lang w:eastAsia="zh-CN"/>
        </w:rPr>
      </w:pPr>
      <w:r w:rsidRPr="0063641E">
        <w:rPr>
          <w:rFonts w:ascii="Arial" w:eastAsia="SimSun" w:hAnsi="Arial" w:cs="Arial"/>
          <w:bCs/>
          <w:sz w:val="20"/>
          <w:lang w:eastAsia="zh-CN"/>
        </w:rPr>
        <w:t>Please see the Other Developments section for an update on the FSB’s Plenary in Paris.</w:t>
      </w:r>
    </w:p>
    <w:p w:rsidR="0063641E" w:rsidRDefault="0063641E" w:rsidP="000A219C">
      <w:pPr>
        <w:rPr>
          <w:rFonts w:ascii="Arial" w:eastAsia="SimSun" w:hAnsi="Arial" w:cs="Arial"/>
          <w:b/>
          <w:bCs/>
          <w:sz w:val="20"/>
          <w:lang w:eastAsia="zh-CN"/>
        </w:rPr>
      </w:pPr>
    </w:p>
    <w:p w:rsidR="000A219C" w:rsidRPr="000A219C" w:rsidRDefault="000A219C" w:rsidP="000A219C">
      <w:pPr>
        <w:rPr>
          <w:rFonts w:ascii="Arial" w:eastAsia="SimSun" w:hAnsi="Arial" w:cs="Arial"/>
          <w:b/>
          <w:bCs/>
          <w:sz w:val="20"/>
          <w:lang w:eastAsia="zh-CN"/>
        </w:rPr>
      </w:pPr>
      <w:r w:rsidRPr="000A219C">
        <w:rPr>
          <w:rFonts w:ascii="Arial" w:eastAsia="SimSun" w:hAnsi="Arial" w:cs="Arial"/>
          <w:b/>
          <w:bCs/>
          <w:sz w:val="20"/>
          <w:lang w:eastAsia="zh-CN"/>
        </w:rPr>
        <w:t xml:space="preserve">Council of EU and European Commission’s draft joint statement on </w:t>
      </w:r>
      <w:proofErr w:type="spellStart"/>
      <w:r w:rsidRPr="000A219C">
        <w:rPr>
          <w:rFonts w:ascii="Arial" w:eastAsia="SimSun" w:hAnsi="Arial" w:cs="Arial"/>
          <w:b/>
          <w:bCs/>
          <w:sz w:val="20"/>
          <w:lang w:eastAsia="zh-CN"/>
        </w:rPr>
        <w:t>stablecoins</w:t>
      </w:r>
      <w:proofErr w:type="spellEnd"/>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 xml:space="preserve">On 6 November, the Council of the EU released a draft joint statement of the Council and the EC on </w:t>
      </w:r>
      <w:proofErr w:type="spellStart"/>
      <w:r w:rsidRPr="000A219C">
        <w:rPr>
          <w:rFonts w:ascii="Arial" w:eastAsia="SimSun" w:hAnsi="Arial" w:cs="Arial"/>
          <w:bCs/>
          <w:sz w:val="20"/>
          <w:lang w:eastAsia="zh-CN"/>
        </w:rPr>
        <w:t>stablecoins</w:t>
      </w:r>
      <w:proofErr w:type="spellEnd"/>
      <w:r w:rsidRPr="000A219C">
        <w:rPr>
          <w:rFonts w:ascii="Arial" w:eastAsia="SimSun" w:hAnsi="Arial" w:cs="Arial"/>
          <w:bCs/>
          <w:sz w:val="20"/>
          <w:lang w:eastAsia="zh-CN"/>
        </w:rPr>
        <w:t xml:space="preserve">. The statement highlights that whilst the Council and the EC recognise the global potential of the </w:t>
      </w:r>
      <w:proofErr w:type="spellStart"/>
      <w:r w:rsidRPr="000A219C">
        <w:rPr>
          <w:rFonts w:ascii="Arial" w:eastAsia="SimSun" w:hAnsi="Arial" w:cs="Arial"/>
          <w:bCs/>
          <w:sz w:val="20"/>
          <w:lang w:eastAsia="zh-CN"/>
        </w:rPr>
        <w:t>stablecoin</w:t>
      </w:r>
      <w:proofErr w:type="spellEnd"/>
      <w:r w:rsidRPr="000A219C">
        <w:rPr>
          <w:rFonts w:ascii="Arial" w:eastAsia="SimSun" w:hAnsi="Arial" w:cs="Arial"/>
          <w:bCs/>
          <w:sz w:val="20"/>
          <w:lang w:eastAsia="zh-CN"/>
        </w:rPr>
        <w:t xml:space="preserve"> initiative alongside the opportunities it provides, there is a definite need to assess risks from a legal, regulatory and oversight perspective. Consequently the statement issues a call for a united approach to create a necessary regulatory framework which would apply to all </w:t>
      </w:r>
      <w:proofErr w:type="spellStart"/>
      <w:r w:rsidRPr="000A219C">
        <w:rPr>
          <w:rFonts w:ascii="Arial" w:eastAsia="SimSun" w:hAnsi="Arial" w:cs="Arial"/>
          <w:bCs/>
          <w:sz w:val="20"/>
          <w:lang w:eastAsia="zh-CN"/>
        </w:rPr>
        <w:t>stablecoin</w:t>
      </w:r>
      <w:proofErr w:type="spellEnd"/>
      <w:r w:rsidRPr="000A219C">
        <w:rPr>
          <w:rFonts w:ascii="Arial" w:eastAsia="SimSun" w:hAnsi="Arial" w:cs="Arial"/>
          <w:bCs/>
          <w:sz w:val="20"/>
          <w:lang w:eastAsia="zh-CN"/>
        </w:rPr>
        <w:t xml:space="preserve"> arrangements. The Council and EC are prepared to act quickly, with their approach involving the creation of a consultation and evidence base in order to develop legislation outlining a common approach to the regulation of </w:t>
      </w:r>
      <w:proofErr w:type="spellStart"/>
      <w:r w:rsidRPr="000A219C">
        <w:rPr>
          <w:rFonts w:ascii="Arial" w:eastAsia="SimSun" w:hAnsi="Arial" w:cs="Arial"/>
          <w:bCs/>
          <w:sz w:val="20"/>
          <w:lang w:eastAsia="zh-CN"/>
        </w:rPr>
        <w:t>cryptoassets</w:t>
      </w:r>
      <w:proofErr w:type="spellEnd"/>
      <w:r w:rsidRPr="000A219C">
        <w:rPr>
          <w:rFonts w:ascii="Arial" w:eastAsia="SimSun" w:hAnsi="Arial" w:cs="Arial"/>
          <w:bCs/>
          <w:sz w:val="20"/>
          <w:lang w:eastAsia="zh-CN"/>
        </w:rPr>
        <w:t xml:space="preserve">. The statement also recognises the need to ensure current payment arrangements are developed at a pace that can manage the growth of </w:t>
      </w:r>
      <w:proofErr w:type="spellStart"/>
      <w:r w:rsidRPr="000A219C">
        <w:rPr>
          <w:rFonts w:ascii="Arial" w:eastAsia="SimSun" w:hAnsi="Arial" w:cs="Arial"/>
          <w:bCs/>
          <w:sz w:val="20"/>
          <w:lang w:eastAsia="zh-CN"/>
        </w:rPr>
        <w:t>stablecoins</w:t>
      </w:r>
      <w:proofErr w:type="spellEnd"/>
      <w:r w:rsidRPr="000A219C">
        <w:rPr>
          <w:rFonts w:ascii="Arial" w:eastAsia="SimSun" w:hAnsi="Arial" w:cs="Arial"/>
          <w:bCs/>
          <w:sz w:val="20"/>
          <w:lang w:eastAsia="zh-CN"/>
        </w:rPr>
        <w:t>. The draft statement will be submitted to the Council's Permanent Representatives Committee (COREPER) for approval at its meeting on 5 December.</w:t>
      </w:r>
    </w:p>
    <w:p w:rsidR="000A219C" w:rsidRPr="000A219C" w:rsidRDefault="00213A05" w:rsidP="001B2E03">
      <w:pPr>
        <w:rPr>
          <w:rFonts w:ascii="Arial" w:eastAsia="SimSun" w:hAnsi="Arial" w:cs="Arial"/>
          <w:bCs/>
          <w:sz w:val="20"/>
          <w:lang w:eastAsia="zh-CN"/>
        </w:rPr>
      </w:pPr>
      <w:hyperlink r:id="rId18" w:history="1">
        <w:r w:rsidR="000A219C" w:rsidRPr="000A219C">
          <w:rPr>
            <w:rStyle w:val="Hyperlink"/>
            <w:rFonts w:ascii="Arial" w:eastAsia="SimSun" w:hAnsi="Arial" w:cs="Arial"/>
            <w:bCs/>
            <w:sz w:val="20"/>
            <w:lang w:eastAsia="zh-CN"/>
          </w:rPr>
          <w:t>Read more</w:t>
        </w:r>
      </w:hyperlink>
    </w:p>
    <w:p w:rsidR="000A219C" w:rsidRDefault="000A219C" w:rsidP="001B2E03">
      <w:pPr>
        <w:rPr>
          <w:rFonts w:ascii="Arial" w:eastAsia="SimSun" w:hAnsi="Arial" w:cs="Arial"/>
          <w:b/>
          <w:bCs/>
          <w:sz w:val="20"/>
          <w:lang w:eastAsia="zh-CN"/>
        </w:rPr>
      </w:pPr>
    </w:p>
    <w:p w:rsidR="001B2E03" w:rsidRPr="000F2A44" w:rsidRDefault="001B2E03" w:rsidP="001B2E03">
      <w:pPr>
        <w:rPr>
          <w:rFonts w:ascii="Arial" w:eastAsia="SimSun" w:hAnsi="Arial" w:cs="Arial"/>
          <w:b/>
          <w:bCs/>
          <w:sz w:val="20"/>
          <w:lang w:eastAsia="zh-CN"/>
        </w:rPr>
      </w:pPr>
      <w:r w:rsidRPr="000F2A44">
        <w:rPr>
          <w:rFonts w:ascii="Arial" w:eastAsia="SimSun" w:hAnsi="Arial" w:cs="Arial"/>
          <w:b/>
          <w:bCs/>
          <w:sz w:val="20"/>
          <w:lang w:eastAsia="zh-CN"/>
        </w:rPr>
        <w:t xml:space="preserve">IOSCO statement on study of emerging global </w:t>
      </w:r>
      <w:proofErr w:type="spellStart"/>
      <w:r w:rsidRPr="000F2A44">
        <w:rPr>
          <w:rFonts w:ascii="Arial" w:eastAsia="SimSun" w:hAnsi="Arial" w:cs="Arial"/>
          <w:b/>
          <w:bCs/>
          <w:sz w:val="20"/>
          <w:lang w:eastAsia="zh-CN"/>
        </w:rPr>
        <w:t>stablecoin</w:t>
      </w:r>
      <w:proofErr w:type="spellEnd"/>
      <w:r w:rsidRPr="000F2A44">
        <w:rPr>
          <w:rFonts w:ascii="Arial" w:eastAsia="SimSun" w:hAnsi="Arial" w:cs="Arial"/>
          <w:b/>
          <w:bCs/>
          <w:sz w:val="20"/>
          <w:lang w:eastAsia="zh-CN"/>
        </w:rPr>
        <w:t xml:space="preserve"> initiatives</w:t>
      </w:r>
    </w:p>
    <w:p w:rsidR="001B2E03" w:rsidRPr="00A07EBB" w:rsidRDefault="001B2E03" w:rsidP="002D5062">
      <w:pPr>
        <w:rPr>
          <w:rFonts w:ascii="Arial" w:eastAsia="SimSun" w:hAnsi="Arial" w:cs="Arial"/>
          <w:bCs/>
          <w:sz w:val="20"/>
          <w:lang w:eastAsia="zh-CN"/>
        </w:rPr>
      </w:pPr>
      <w:r w:rsidRPr="000F2A44">
        <w:rPr>
          <w:rFonts w:ascii="Arial" w:eastAsia="SimSun" w:hAnsi="Arial" w:cs="Arial"/>
          <w:bCs/>
          <w:sz w:val="20"/>
          <w:lang w:eastAsia="zh-CN"/>
        </w:rPr>
        <w:t xml:space="preserve">On 4 November, the International Organization of Securities Commissions (IOSCO) published </w:t>
      </w:r>
      <w:r w:rsidRPr="00A628C1">
        <w:rPr>
          <w:rFonts w:ascii="Arial" w:eastAsia="SimSun" w:hAnsi="Arial" w:cs="Arial"/>
          <w:bCs/>
          <w:sz w:val="20"/>
          <w:lang w:eastAsia="zh-CN"/>
        </w:rPr>
        <w:t xml:space="preserve">a </w:t>
      </w:r>
      <w:r w:rsidRPr="00A628C1">
        <w:rPr>
          <w:rFonts w:ascii="Arial" w:eastAsia="SimSun" w:hAnsi="Arial" w:cs="Arial"/>
          <w:bCs/>
          <w:iCs/>
          <w:sz w:val="20"/>
          <w:lang w:eastAsia="zh-CN"/>
        </w:rPr>
        <w:t>statement</w:t>
      </w:r>
      <w:r w:rsidRPr="00A628C1">
        <w:rPr>
          <w:rFonts w:ascii="Arial" w:eastAsia="SimSun" w:hAnsi="Arial" w:cs="Arial"/>
          <w:bCs/>
          <w:sz w:val="20"/>
          <w:lang w:eastAsia="zh-CN"/>
        </w:rPr>
        <w:t xml:space="preserve"> </w:t>
      </w:r>
      <w:r w:rsidR="000F55F5">
        <w:rPr>
          <w:rFonts w:ascii="Arial" w:eastAsia="SimSun" w:hAnsi="Arial" w:cs="Arial"/>
          <w:bCs/>
          <w:sz w:val="20"/>
          <w:lang w:eastAsia="zh-CN"/>
        </w:rPr>
        <w:t>regarding</w:t>
      </w:r>
      <w:r w:rsidRPr="00A628C1">
        <w:rPr>
          <w:rFonts w:ascii="Arial" w:eastAsia="SimSun" w:hAnsi="Arial" w:cs="Arial"/>
          <w:bCs/>
          <w:sz w:val="20"/>
          <w:lang w:eastAsia="zh-CN"/>
        </w:rPr>
        <w:t xml:space="preserve"> a study</w:t>
      </w:r>
      <w:r>
        <w:rPr>
          <w:rFonts w:ascii="Arial" w:eastAsia="SimSun" w:hAnsi="Arial" w:cs="Arial"/>
          <w:bCs/>
          <w:sz w:val="20"/>
          <w:lang w:eastAsia="zh-CN"/>
        </w:rPr>
        <w:t xml:space="preserve"> </w:t>
      </w:r>
      <w:r w:rsidR="000F55F5">
        <w:rPr>
          <w:rFonts w:ascii="Arial" w:eastAsia="SimSun" w:hAnsi="Arial" w:cs="Arial"/>
          <w:bCs/>
          <w:sz w:val="20"/>
          <w:lang w:eastAsia="zh-CN"/>
        </w:rPr>
        <w:t>(</w:t>
      </w:r>
      <w:r>
        <w:rPr>
          <w:rFonts w:ascii="Arial" w:eastAsia="SimSun" w:hAnsi="Arial" w:cs="Arial"/>
          <w:bCs/>
          <w:sz w:val="20"/>
          <w:lang w:eastAsia="zh-CN"/>
        </w:rPr>
        <w:t xml:space="preserve">conducted by the IOSCO’s </w:t>
      </w:r>
      <w:proofErr w:type="spellStart"/>
      <w:r>
        <w:rPr>
          <w:rFonts w:ascii="Arial" w:eastAsia="SimSun" w:hAnsi="Arial" w:cs="Arial"/>
          <w:bCs/>
          <w:sz w:val="20"/>
          <w:lang w:eastAsia="zh-CN"/>
        </w:rPr>
        <w:t>FinTech</w:t>
      </w:r>
      <w:proofErr w:type="spellEnd"/>
      <w:r>
        <w:rPr>
          <w:rFonts w:ascii="Arial" w:eastAsia="SimSun" w:hAnsi="Arial" w:cs="Arial"/>
          <w:bCs/>
          <w:sz w:val="20"/>
          <w:lang w:eastAsia="zh-CN"/>
        </w:rPr>
        <w:t xml:space="preserve"> Network</w:t>
      </w:r>
      <w:r w:rsidR="000F55F5">
        <w:rPr>
          <w:rFonts w:ascii="Arial" w:eastAsia="SimSun" w:hAnsi="Arial" w:cs="Arial"/>
          <w:bCs/>
          <w:sz w:val="20"/>
          <w:lang w:eastAsia="zh-CN"/>
        </w:rPr>
        <w:t>)</w:t>
      </w:r>
      <w:r>
        <w:rPr>
          <w:rFonts w:ascii="Arial" w:eastAsia="SimSun" w:hAnsi="Arial" w:cs="Arial"/>
          <w:bCs/>
          <w:sz w:val="20"/>
          <w:lang w:eastAsia="zh-CN"/>
        </w:rPr>
        <w:t>,</w:t>
      </w:r>
      <w:r w:rsidRPr="00A628C1">
        <w:rPr>
          <w:rFonts w:ascii="Arial" w:eastAsia="SimSun" w:hAnsi="Arial" w:cs="Arial"/>
          <w:bCs/>
          <w:sz w:val="20"/>
          <w:lang w:eastAsia="zh-CN"/>
        </w:rPr>
        <w:t xml:space="preserve"> of </w:t>
      </w:r>
      <w:proofErr w:type="spellStart"/>
      <w:r w:rsidRPr="00A628C1">
        <w:rPr>
          <w:rFonts w:ascii="Arial" w:eastAsia="SimSun" w:hAnsi="Arial" w:cs="Arial"/>
          <w:bCs/>
          <w:sz w:val="20"/>
          <w:lang w:eastAsia="zh-CN"/>
        </w:rPr>
        <w:t>stablecoin</w:t>
      </w:r>
      <w:proofErr w:type="spellEnd"/>
      <w:r w:rsidRPr="00A628C1">
        <w:rPr>
          <w:rFonts w:ascii="Arial" w:eastAsia="SimSun" w:hAnsi="Arial" w:cs="Arial"/>
          <w:bCs/>
          <w:sz w:val="20"/>
          <w:lang w:eastAsia="zh-CN"/>
        </w:rPr>
        <w:t xml:space="preserve"> initiatives with a potential global reach (global </w:t>
      </w:r>
      <w:proofErr w:type="spellStart"/>
      <w:r w:rsidRPr="00A628C1">
        <w:rPr>
          <w:rFonts w:ascii="Arial" w:eastAsia="SimSun" w:hAnsi="Arial" w:cs="Arial"/>
          <w:bCs/>
          <w:sz w:val="20"/>
          <w:lang w:eastAsia="zh-CN"/>
        </w:rPr>
        <w:t>stablecoins</w:t>
      </w:r>
      <w:proofErr w:type="spellEnd"/>
      <w:r w:rsidRPr="00A628C1">
        <w:rPr>
          <w:rFonts w:ascii="Arial" w:eastAsia="SimSun" w:hAnsi="Arial" w:cs="Arial"/>
          <w:bCs/>
          <w:sz w:val="20"/>
          <w:lang w:eastAsia="zh-CN"/>
        </w:rPr>
        <w:t>).</w:t>
      </w:r>
      <w:r>
        <w:rPr>
          <w:rFonts w:ascii="Arial" w:eastAsia="SimSun" w:hAnsi="Arial" w:cs="Arial"/>
          <w:bCs/>
          <w:sz w:val="20"/>
          <w:lang w:eastAsia="zh-CN"/>
        </w:rPr>
        <w:t xml:space="preserve"> </w:t>
      </w:r>
      <w:r w:rsidRPr="000F2A44">
        <w:rPr>
          <w:rFonts w:ascii="Arial" w:eastAsia="SimSun" w:hAnsi="Arial" w:cs="Arial"/>
          <w:bCs/>
          <w:sz w:val="20"/>
          <w:lang w:eastAsia="zh-CN"/>
        </w:rPr>
        <w:t>The Network assess</w:t>
      </w:r>
      <w:r>
        <w:rPr>
          <w:rFonts w:ascii="Arial" w:eastAsia="SimSun" w:hAnsi="Arial" w:cs="Arial"/>
          <w:bCs/>
          <w:sz w:val="20"/>
          <w:lang w:eastAsia="zh-CN"/>
        </w:rPr>
        <w:t xml:space="preserve">ed </w:t>
      </w:r>
      <w:r w:rsidRPr="000F2A44">
        <w:rPr>
          <w:rFonts w:ascii="Arial" w:eastAsia="SimSun" w:hAnsi="Arial" w:cs="Arial"/>
          <w:bCs/>
          <w:sz w:val="20"/>
          <w:lang w:eastAsia="zh-CN"/>
        </w:rPr>
        <w:t>how IOSCO</w:t>
      </w:r>
      <w:r>
        <w:rPr>
          <w:rFonts w:ascii="Arial" w:eastAsia="SimSun" w:hAnsi="Arial" w:cs="Arial"/>
          <w:bCs/>
          <w:sz w:val="20"/>
          <w:lang w:eastAsia="zh-CN"/>
        </w:rPr>
        <w:t xml:space="preserve"> principles and standards applied</w:t>
      </w:r>
      <w:r w:rsidRPr="000F2A44">
        <w:rPr>
          <w:rFonts w:ascii="Arial" w:eastAsia="SimSun" w:hAnsi="Arial" w:cs="Arial"/>
          <w:bCs/>
          <w:sz w:val="20"/>
          <w:lang w:eastAsia="zh-CN"/>
        </w:rPr>
        <w:t xml:space="preserve"> to global </w:t>
      </w:r>
      <w:proofErr w:type="spellStart"/>
      <w:r w:rsidRPr="000F2A44">
        <w:rPr>
          <w:rFonts w:ascii="Arial" w:eastAsia="SimSun" w:hAnsi="Arial" w:cs="Arial"/>
          <w:bCs/>
          <w:sz w:val="20"/>
          <w:lang w:eastAsia="zh-CN"/>
        </w:rPr>
        <w:t>stablecoin</w:t>
      </w:r>
      <w:proofErr w:type="spellEnd"/>
      <w:r w:rsidRPr="000F2A44">
        <w:rPr>
          <w:rFonts w:ascii="Arial" w:eastAsia="SimSun" w:hAnsi="Arial" w:cs="Arial"/>
          <w:bCs/>
          <w:sz w:val="20"/>
          <w:lang w:eastAsia="zh-CN"/>
        </w:rPr>
        <w:t xml:space="preserve"> initiatives. Th</w:t>
      </w:r>
      <w:r>
        <w:rPr>
          <w:rFonts w:ascii="Arial" w:eastAsia="SimSun" w:hAnsi="Arial" w:cs="Arial"/>
          <w:bCs/>
          <w:sz w:val="20"/>
          <w:lang w:eastAsia="zh-CN"/>
        </w:rPr>
        <w:t xml:space="preserve">e similar characteristics between </w:t>
      </w:r>
      <w:proofErr w:type="spellStart"/>
      <w:r>
        <w:rPr>
          <w:rFonts w:ascii="Arial" w:eastAsia="SimSun" w:hAnsi="Arial" w:cs="Arial"/>
          <w:bCs/>
          <w:sz w:val="20"/>
          <w:lang w:eastAsia="zh-CN"/>
        </w:rPr>
        <w:t>stablecoins</w:t>
      </w:r>
      <w:proofErr w:type="spellEnd"/>
      <w:r>
        <w:rPr>
          <w:rFonts w:ascii="Arial" w:eastAsia="SimSun" w:hAnsi="Arial" w:cs="Arial"/>
          <w:bCs/>
          <w:sz w:val="20"/>
          <w:lang w:eastAsia="zh-CN"/>
        </w:rPr>
        <w:t xml:space="preserve"> and regulated securities meant that IOSCO principles could apply to </w:t>
      </w:r>
      <w:proofErr w:type="spellStart"/>
      <w:r>
        <w:rPr>
          <w:rFonts w:ascii="Arial" w:eastAsia="SimSun" w:hAnsi="Arial" w:cs="Arial"/>
          <w:bCs/>
          <w:sz w:val="20"/>
          <w:lang w:eastAsia="zh-CN"/>
        </w:rPr>
        <w:t>stablecoins</w:t>
      </w:r>
      <w:proofErr w:type="spellEnd"/>
      <w:r>
        <w:rPr>
          <w:rFonts w:ascii="Arial" w:eastAsia="SimSun" w:hAnsi="Arial" w:cs="Arial"/>
          <w:bCs/>
          <w:sz w:val="20"/>
          <w:lang w:eastAsia="zh-CN"/>
        </w:rPr>
        <w:t xml:space="preserve">. This however, depends on the structure of these </w:t>
      </w:r>
      <w:proofErr w:type="spellStart"/>
      <w:r>
        <w:rPr>
          <w:rFonts w:ascii="Arial" w:eastAsia="SimSun" w:hAnsi="Arial" w:cs="Arial"/>
          <w:bCs/>
          <w:sz w:val="20"/>
          <w:lang w:eastAsia="zh-CN"/>
        </w:rPr>
        <w:t>stablecoins</w:t>
      </w:r>
      <w:proofErr w:type="spellEnd"/>
      <w:r>
        <w:rPr>
          <w:rFonts w:ascii="Arial" w:eastAsia="SimSun" w:hAnsi="Arial" w:cs="Arial"/>
          <w:bCs/>
          <w:sz w:val="20"/>
          <w:lang w:eastAsia="zh-CN"/>
        </w:rPr>
        <w:t xml:space="preserve">. Consequently a case-by-case approach would be desirable to determine which IOSCO principles and standards, and nation regulatory regimes, would apply. </w:t>
      </w:r>
      <w:r w:rsidRPr="000F2A44">
        <w:rPr>
          <w:rFonts w:ascii="Arial" w:eastAsia="SimSun" w:hAnsi="Arial" w:cs="Arial"/>
          <w:bCs/>
          <w:sz w:val="20"/>
          <w:lang w:eastAsia="zh-CN"/>
        </w:rPr>
        <w:t xml:space="preserve">IOSCO agrees that global </w:t>
      </w:r>
      <w:proofErr w:type="spellStart"/>
      <w:r w:rsidRPr="000F2A44">
        <w:rPr>
          <w:rFonts w:ascii="Arial" w:eastAsia="SimSun" w:hAnsi="Arial" w:cs="Arial"/>
          <w:bCs/>
          <w:sz w:val="20"/>
          <w:lang w:eastAsia="zh-CN"/>
        </w:rPr>
        <w:t>stablecoins</w:t>
      </w:r>
      <w:proofErr w:type="spellEnd"/>
      <w:r w:rsidRPr="000F2A44">
        <w:rPr>
          <w:rFonts w:ascii="Arial" w:eastAsia="SimSun" w:hAnsi="Arial" w:cs="Arial"/>
          <w:bCs/>
          <w:sz w:val="20"/>
          <w:lang w:eastAsia="zh-CN"/>
        </w:rPr>
        <w:t xml:space="preserve"> with potential systemic footprints give rise to a set of serious public policy and regulatory risks. </w:t>
      </w:r>
      <w:r>
        <w:rPr>
          <w:rFonts w:ascii="Arial" w:eastAsia="SimSun" w:hAnsi="Arial" w:cs="Arial"/>
          <w:bCs/>
          <w:sz w:val="20"/>
          <w:lang w:eastAsia="zh-CN"/>
        </w:rPr>
        <w:t xml:space="preserve">A collaborative approach to identifying and combating the risks relating to </w:t>
      </w:r>
      <w:proofErr w:type="spellStart"/>
      <w:r>
        <w:rPr>
          <w:rFonts w:ascii="Arial" w:eastAsia="SimSun" w:hAnsi="Arial" w:cs="Arial"/>
          <w:bCs/>
          <w:sz w:val="20"/>
          <w:lang w:eastAsia="zh-CN"/>
        </w:rPr>
        <w:t>stablecoins</w:t>
      </w:r>
      <w:proofErr w:type="spellEnd"/>
      <w:r>
        <w:rPr>
          <w:rFonts w:ascii="Arial" w:eastAsia="SimSun" w:hAnsi="Arial" w:cs="Arial"/>
          <w:bCs/>
          <w:sz w:val="20"/>
          <w:lang w:eastAsia="zh-CN"/>
        </w:rPr>
        <w:t xml:space="preserve"> is therefore needed in order to ensure that the benefits are realised</w:t>
      </w:r>
      <w:r w:rsidRPr="000F2A44">
        <w:rPr>
          <w:rFonts w:ascii="Arial" w:eastAsia="SimSun" w:hAnsi="Arial" w:cs="Arial"/>
          <w:bCs/>
          <w:sz w:val="20"/>
          <w:lang w:eastAsia="zh-CN"/>
        </w:rPr>
        <w:t xml:space="preserve">. </w:t>
      </w:r>
    </w:p>
    <w:p w:rsidR="00E629CD" w:rsidRDefault="00213A05" w:rsidP="002D5062">
      <w:pPr>
        <w:rPr>
          <w:rStyle w:val="Hyperlink"/>
          <w:rFonts w:ascii="Arial" w:eastAsia="SimSun" w:hAnsi="Arial" w:cs="Arial"/>
          <w:bCs/>
          <w:sz w:val="20"/>
          <w:lang w:eastAsia="zh-CN"/>
        </w:rPr>
      </w:pPr>
      <w:hyperlink r:id="rId19" w:history="1">
        <w:r w:rsidR="00E629CD" w:rsidRPr="00E629CD">
          <w:rPr>
            <w:rStyle w:val="Hyperlink"/>
            <w:rFonts w:ascii="Arial" w:eastAsia="SimSun" w:hAnsi="Arial" w:cs="Arial"/>
            <w:bCs/>
            <w:sz w:val="20"/>
            <w:lang w:eastAsia="zh-CN"/>
          </w:rPr>
          <w:t>Read more</w:t>
        </w:r>
      </w:hyperlink>
    </w:p>
    <w:p w:rsidR="00E629CD" w:rsidRDefault="00E629CD" w:rsidP="002D5062">
      <w:pPr>
        <w:rPr>
          <w:rFonts w:ascii="Arial" w:eastAsia="SimSun" w:hAnsi="Arial" w:cs="Arial"/>
          <w:b/>
          <w:bCs/>
          <w:color w:val="800000"/>
          <w:sz w:val="20"/>
          <w:lang w:eastAsia="zh-CN"/>
        </w:rPr>
      </w:pPr>
    </w:p>
    <w:p w:rsidR="001B2E03" w:rsidRDefault="001B2E03" w:rsidP="002D5062">
      <w:pPr>
        <w:rPr>
          <w:rFonts w:ascii="Arial" w:eastAsia="SimSun" w:hAnsi="Arial" w:cs="Arial"/>
          <w:b/>
          <w:bCs/>
          <w:color w:val="800000"/>
          <w:sz w:val="20"/>
          <w:lang w:eastAsia="zh-CN"/>
        </w:rPr>
      </w:pPr>
      <w:r>
        <w:rPr>
          <w:rFonts w:ascii="Arial" w:eastAsia="SimSun" w:hAnsi="Arial" w:cs="Arial"/>
          <w:b/>
          <w:bCs/>
          <w:color w:val="800000"/>
          <w:sz w:val="20"/>
          <w:lang w:eastAsia="zh-CN"/>
        </w:rPr>
        <w:t>FUND REGULATION</w:t>
      </w:r>
    </w:p>
    <w:p w:rsidR="001B2E03" w:rsidRDefault="001B2E03" w:rsidP="002D5062">
      <w:pPr>
        <w:rPr>
          <w:rFonts w:ascii="Arial" w:eastAsia="SimSun" w:hAnsi="Arial" w:cs="Arial"/>
          <w:b/>
          <w:bCs/>
          <w:color w:val="800000"/>
          <w:sz w:val="20"/>
          <w:lang w:eastAsia="zh-CN"/>
        </w:rPr>
      </w:pPr>
    </w:p>
    <w:p w:rsidR="001B2E03" w:rsidRPr="00E72697" w:rsidRDefault="001B2E03" w:rsidP="001B2E03">
      <w:pPr>
        <w:rPr>
          <w:rFonts w:ascii="Arial" w:eastAsia="SimSun" w:hAnsi="Arial" w:cs="Arial"/>
          <w:b/>
          <w:bCs/>
          <w:sz w:val="20"/>
          <w:lang w:eastAsia="zh-CN"/>
        </w:rPr>
      </w:pPr>
      <w:r w:rsidRPr="00E72697">
        <w:rPr>
          <w:rFonts w:ascii="Arial" w:eastAsia="SimSun" w:hAnsi="Arial" w:cs="Arial"/>
          <w:b/>
          <w:bCs/>
          <w:sz w:val="20"/>
          <w:lang w:eastAsia="zh-CN"/>
        </w:rPr>
        <w:t xml:space="preserve">FCA </w:t>
      </w:r>
      <w:r w:rsidR="007A5719">
        <w:rPr>
          <w:rFonts w:ascii="Arial" w:eastAsia="SimSun" w:hAnsi="Arial" w:cs="Arial"/>
          <w:b/>
          <w:bCs/>
          <w:sz w:val="20"/>
          <w:lang w:eastAsia="zh-CN"/>
        </w:rPr>
        <w:t xml:space="preserve">publishes letter outlining </w:t>
      </w:r>
      <w:r w:rsidR="00525CC7">
        <w:rPr>
          <w:rFonts w:ascii="Arial" w:eastAsia="SimSun" w:hAnsi="Arial" w:cs="Arial"/>
          <w:b/>
          <w:bCs/>
          <w:sz w:val="20"/>
          <w:lang w:eastAsia="zh-CN"/>
        </w:rPr>
        <w:t>steps to ensure effective fund liquidity</w:t>
      </w:r>
    </w:p>
    <w:p w:rsidR="00E629CD" w:rsidRPr="00A07EBB" w:rsidRDefault="001B2E03" w:rsidP="002D5062">
      <w:pPr>
        <w:rPr>
          <w:rFonts w:ascii="Arial" w:eastAsia="SimSun" w:hAnsi="Arial" w:cs="Arial"/>
          <w:bCs/>
          <w:sz w:val="20"/>
          <w:lang w:eastAsia="zh-CN"/>
        </w:rPr>
      </w:pPr>
      <w:r>
        <w:rPr>
          <w:rFonts w:ascii="Arial" w:eastAsia="SimSun" w:hAnsi="Arial" w:cs="Arial"/>
          <w:bCs/>
          <w:sz w:val="20"/>
          <w:lang w:eastAsia="zh-CN"/>
        </w:rPr>
        <w:t>On 4 November,</w:t>
      </w:r>
      <w:r w:rsidRPr="003969B5">
        <w:rPr>
          <w:rFonts w:ascii="Arial" w:eastAsia="SimSun" w:hAnsi="Arial" w:cs="Arial"/>
          <w:bCs/>
          <w:sz w:val="20"/>
          <w:lang w:eastAsia="zh-CN"/>
        </w:rPr>
        <w:t xml:space="preserve"> the FCA published a letter </w:t>
      </w:r>
      <w:r w:rsidR="000F55F5">
        <w:rPr>
          <w:rFonts w:ascii="Arial" w:eastAsia="SimSun" w:hAnsi="Arial" w:cs="Arial"/>
          <w:bCs/>
          <w:sz w:val="20"/>
          <w:lang w:eastAsia="zh-CN"/>
        </w:rPr>
        <w:t xml:space="preserve">addressed </w:t>
      </w:r>
      <w:r w:rsidRPr="003969B5">
        <w:rPr>
          <w:rFonts w:ascii="Arial" w:eastAsia="SimSun" w:hAnsi="Arial" w:cs="Arial"/>
          <w:bCs/>
          <w:sz w:val="20"/>
          <w:lang w:eastAsia="zh-CN"/>
        </w:rPr>
        <w:t xml:space="preserve">to the Chairs of Authorised Fund Managers (AFMs) in relation to good practices for </w:t>
      </w:r>
      <w:r>
        <w:rPr>
          <w:rFonts w:ascii="Arial" w:eastAsia="SimSun" w:hAnsi="Arial" w:cs="Arial"/>
          <w:bCs/>
          <w:sz w:val="20"/>
          <w:lang w:eastAsia="zh-CN"/>
        </w:rPr>
        <w:t>effective liquidity management. The letter highlights the responsibility of AFMs in</w:t>
      </w:r>
      <w:r w:rsidRPr="003969B5">
        <w:rPr>
          <w:rFonts w:ascii="Arial" w:eastAsia="SimSun" w:hAnsi="Arial" w:cs="Arial"/>
          <w:bCs/>
          <w:sz w:val="20"/>
          <w:lang w:eastAsia="zh-CN"/>
        </w:rPr>
        <w:t xml:space="preserve"> ensuring effective fund liquidity</w:t>
      </w:r>
      <w:r>
        <w:rPr>
          <w:rFonts w:ascii="Arial" w:eastAsia="SimSun" w:hAnsi="Arial" w:cs="Arial"/>
          <w:bCs/>
          <w:sz w:val="20"/>
          <w:lang w:eastAsia="zh-CN"/>
        </w:rPr>
        <w:t>. Whilst the FCA recognises that open-ended funds may not be able to liquidate assets sufficiently in light of increased redemption requests from investors</w:t>
      </w:r>
      <w:r w:rsidRPr="003969B5">
        <w:rPr>
          <w:rFonts w:ascii="Arial" w:eastAsia="SimSun" w:hAnsi="Arial" w:cs="Arial"/>
          <w:bCs/>
          <w:sz w:val="20"/>
          <w:lang w:eastAsia="zh-CN"/>
        </w:rPr>
        <w:t>,</w:t>
      </w:r>
      <w:r>
        <w:rPr>
          <w:rFonts w:ascii="Arial" w:eastAsia="SimSun" w:hAnsi="Arial" w:cs="Arial"/>
          <w:bCs/>
          <w:sz w:val="20"/>
          <w:lang w:eastAsia="zh-CN"/>
        </w:rPr>
        <w:t xml:space="preserve"> firms can mitigate </w:t>
      </w:r>
      <w:r>
        <w:rPr>
          <w:rFonts w:ascii="Arial" w:eastAsia="SimSun" w:hAnsi="Arial" w:cs="Arial"/>
          <w:bCs/>
          <w:sz w:val="20"/>
          <w:lang w:eastAsia="zh-CN"/>
        </w:rPr>
        <w:lastRenderedPageBreak/>
        <w:t xml:space="preserve">against this by; (i) having a suitable portfolio composition; (ii) effective fund governance; (iii) </w:t>
      </w:r>
      <w:r w:rsidRPr="003969B5">
        <w:rPr>
          <w:rFonts w:ascii="Arial" w:eastAsia="SimSun" w:hAnsi="Arial" w:cs="Arial"/>
          <w:bCs/>
          <w:sz w:val="20"/>
          <w:lang w:eastAsia="zh-CN"/>
        </w:rPr>
        <w:t>understanding their investor base and investors’ redemption rights, and</w:t>
      </w:r>
      <w:r>
        <w:rPr>
          <w:rFonts w:ascii="Arial" w:eastAsia="SimSun" w:hAnsi="Arial" w:cs="Arial"/>
          <w:bCs/>
          <w:sz w:val="20"/>
          <w:lang w:eastAsia="zh-CN"/>
        </w:rPr>
        <w:t>; (iv)</w:t>
      </w:r>
      <w:r w:rsidRPr="003969B5">
        <w:rPr>
          <w:rFonts w:ascii="Arial" w:eastAsia="SimSun" w:hAnsi="Arial" w:cs="Arial"/>
          <w:bCs/>
          <w:sz w:val="20"/>
          <w:lang w:eastAsia="zh-CN"/>
        </w:rPr>
        <w:t xml:space="preserve"> using liquidity tools appropriately, especially in times of market volatility and stress.</w:t>
      </w:r>
      <w:r>
        <w:rPr>
          <w:rFonts w:ascii="Arial" w:eastAsia="SimSun" w:hAnsi="Arial" w:cs="Arial"/>
          <w:bCs/>
          <w:sz w:val="20"/>
          <w:lang w:eastAsia="zh-CN"/>
        </w:rPr>
        <w:t xml:space="preserve"> T</w:t>
      </w:r>
      <w:r w:rsidRPr="003969B5">
        <w:rPr>
          <w:rFonts w:ascii="Arial" w:eastAsia="SimSun" w:hAnsi="Arial" w:cs="Arial"/>
          <w:bCs/>
          <w:sz w:val="20"/>
          <w:lang w:eastAsia="zh-CN"/>
        </w:rPr>
        <w:t xml:space="preserve">he FCA </w:t>
      </w:r>
      <w:r>
        <w:rPr>
          <w:rFonts w:ascii="Arial" w:eastAsia="SimSun" w:hAnsi="Arial" w:cs="Arial"/>
          <w:bCs/>
          <w:sz w:val="20"/>
          <w:lang w:eastAsia="zh-CN"/>
        </w:rPr>
        <w:t>also emphasised</w:t>
      </w:r>
      <w:r w:rsidRPr="003969B5">
        <w:rPr>
          <w:rFonts w:ascii="Arial" w:eastAsia="SimSun" w:hAnsi="Arial" w:cs="Arial"/>
          <w:bCs/>
          <w:sz w:val="20"/>
          <w:lang w:eastAsia="zh-CN"/>
        </w:rPr>
        <w:t xml:space="preserve"> that firms should recognise that “effective liquidity management is an irreducible, core function for all open-ended funds”. </w:t>
      </w:r>
      <w:r>
        <w:rPr>
          <w:rFonts w:ascii="Arial" w:eastAsia="SimSun" w:hAnsi="Arial" w:cs="Arial"/>
          <w:bCs/>
          <w:sz w:val="20"/>
          <w:lang w:eastAsia="zh-CN"/>
        </w:rPr>
        <w:t>Therefore the letter encourages firms to consider adopting some measur</w:t>
      </w:r>
      <w:r w:rsidR="00CC7B71">
        <w:rPr>
          <w:rFonts w:ascii="Arial" w:eastAsia="SimSun" w:hAnsi="Arial" w:cs="Arial"/>
          <w:bCs/>
          <w:sz w:val="20"/>
          <w:lang w:eastAsia="zh-CN"/>
        </w:rPr>
        <w:t>es outlined in the 30 September</w:t>
      </w:r>
      <w:r>
        <w:rPr>
          <w:rFonts w:ascii="Arial" w:eastAsia="SimSun" w:hAnsi="Arial" w:cs="Arial"/>
          <w:bCs/>
          <w:sz w:val="20"/>
          <w:lang w:eastAsia="zh-CN"/>
        </w:rPr>
        <w:t xml:space="preserve"> policy statement on illiquid assets and open-ended funds (PS19/24), which aims to increase regulation in this area, despite the fact that the rules do not come into force until September 2020</w:t>
      </w:r>
      <w:r w:rsidRPr="003969B5">
        <w:rPr>
          <w:rFonts w:ascii="Arial" w:eastAsia="SimSun" w:hAnsi="Arial" w:cs="Arial"/>
          <w:bCs/>
          <w:sz w:val="20"/>
          <w:lang w:eastAsia="zh-CN"/>
        </w:rPr>
        <w:t>.</w:t>
      </w:r>
      <w:r>
        <w:rPr>
          <w:rFonts w:ascii="Arial" w:eastAsia="SimSun" w:hAnsi="Arial" w:cs="Arial"/>
          <w:bCs/>
          <w:sz w:val="20"/>
          <w:lang w:eastAsia="zh-CN"/>
        </w:rPr>
        <w:t xml:space="preserve"> Other requests in the letter include asking Chairs to; (i) consider their obligations outline in the Collective Investment Schemes sourcebook; (ii) review their liquidity management arrangements against the 2016 FCA good practice paper and; (iii) consider whether these arrangements are in</w:t>
      </w:r>
      <w:r w:rsidR="000F55F5">
        <w:rPr>
          <w:rFonts w:ascii="Arial" w:eastAsia="SimSun" w:hAnsi="Arial" w:cs="Arial"/>
          <w:bCs/>
          <w:sz w:val="20"/>
          <w:lang w:eastAsia="zh-CN"/>
        </w:rPr>
        <w:t xml:space="preserve"> </w:t>
      </w:r>
      <w:r>
        <w:rPr>
          <w:rFonts w:ascii="Arial" w:eastAsia="SimSun" w:hAnsi="Arial" w:cs="Arial"/>
          <w:bCs/>
          <w:sz w:val="20"/>
          <w:lang w:eastAsia="zh-CN"/>
        </w:rPr>
        <w:t>line with the 2018 recommendations made by the International Organisation of Securities Commission. The FCA has asked Chairs to carry out these reviews “as soon as practicable”.</w:t>
      </w:r>
    </w:p>
    <w:p w:rsidR="00B43EB9" w:rsidRPr="00525CC7" w:rsidRDefault="00213A05" w:rsidP="00CC7B71">
      <w:pPr>
        <w:rPr>
          <w:rFonts w:ascii="Arial" w:eastAsia="SimSun" w:hAnsi="Arial" w:cs="Arial"/>
          <w:bCs/>
          <w:color w:val="0000FF" w:themeColor="hyperlink"/>
          <w:sz w:val="20"/>
          <w:u w:val="single"/>
          <w:lang w:eastAsia="zh-CN"/>
        </w:rPr>
      </w:pPr>
      <w:hyperlink r:id="rId20" w:history="1">
        <w:r w:rsidR="00E629CD" w:rsidRPr="00E629CD">
          <w:rPr>
            <w:rStyle w:val="Hyperlink"/>
            <w:rFonts w:ascii="Arial" w:eastAsia="SimSun" w:hAnsi="Arial" w:cs="Arial"/>
            <w:bCs/>
            <w:sz w:val="20"/>
            <w:lang w:eastAsia="zh-CN"/>
          </w:rPr>
          <w:t>Read more</w:t>
        </w:r>
      </w:hyperlink>
    </w:p>
    <w:p w:rsidR="00B43EB9" w:rsidRDefault="00B43EB9" w:rsidP="00CC7B71">
      <w:pPr>
        <w:rPr>
          <w:rFonts w:ascii="Arial" w:eastAsia="SimSun" w:hAnsi="Arial" w:cs="Arial"/>
          <w:b/>
          <w:bCs/>
          <w:sz w:val="20"/>
          <w:lang w:eastAsia="zh-CN"/>
        </w:rPr>
      </w:pPr>
    </w:p>
    <w:p w:rsidR="00CC7B71" w:rsidRPr="00BC7CD3" w:rsidRDefault="00CC7B71" w:rsidP="00CC7B71">
      <w:pPr>
        <w:rPr>
          <w:rFonts w:ascii="Arial" w:eastAsia="SimSun" w:hAnsi="Arial" w:cs="Arial"/>
          <w:b/>
          <w:bCs/>
          <w:sz w:val="20"/>
          <w:lang w:eastAsia="zh-CN"/>
        </w:rPr>
      </w:pPr>
      <w:r w:rsidRPr="00681A16">
        <w:rPr>
          <w:rFonts w:ascii="Arial" w:eastAsia="SimSun" w:hAnsi="Arial" w:cs="Arial"/>
          <w:b/>
          <w:bCs/>
          <w:sz w:val="20"/>
          <w:lang w:eastAsia="zh-CN"/>
        </w:rPr>
        <w:t>Investment Association principles of remuneration for 2020</w:t>
      </w:r>
    </w:p>
    <w:p w:rsidR="00CC7B71" w:rsidRPr="003969B5" w:rsidRDefault="00CC7B71" w:rsidP="00CC7B71">
      <w:pPr>
        <w:rPr>
          <w:rFonts w:ascii="Arial" w:eastAsia="SimSun" w:hAnsi="Arial" w:cs="Arial"/>
          <w:bCs/>
          <w:sz w:val="20"/>
          <w:lang w:eastAsia="zh-CN"/>
        </w:rPr>
      </w:pPr>
      <w:r>
        <w:rPr>
          <w:rFonts w:ascii="Arial" w:eastAsia="SimSun" w:hAnsi="Arial" w:cs="Arial"/>
          <w:bCs/>
          <w:sz w:val="20"/>
          <w:lang w:eastAsia="zh-CN"/>
        </w:rPr>
        <w:t>On 1 November</w:t>
      </w:r>
      <w:r w:rsidRPr="00BC7CD3">
        <w:rPr>
          <w:rFonts w:ascii="Arial" w:eastAsia="SimSun" w:hAnsi="Arial" w:cs="Arial"/>
          <w:bCs/>
          <w:sz w:val="20"/>
          <w:lang w:eastAsia="zh-CN"/>
        </w:rPr>
        <w:t xml:space="preserve">, the Investment Association published a revised version of its principles of remuneration for 2020. The </w:t>
      </w:r>
      <w:r>
        <w:rPr>
          <w:rFonts w:ascii="Arial" w:eastAsia="SimSun" w:hAnsi="Arial" w:cs="Arial"/>
          <w:bCs/>
          <w:sz w:val="20"/>
          <w:lang w:eastAsia="zh-CN"/>
        </w:rPr>
        <w:t xml:space="preserve">updated version introduces </w:t>
      </w:r>
      <w:r w:rsidRPr="00BC7CD3">
        <w:rPr>
          <w:rFonts w:ascii="Arial" w:eastAsia="SimSun" w:hAnsi="Arial" w:cs="Arial"/>
          <w:bCs/>
          <w:sz w:val="20"/>
          <w:lang w:eastAsia="zh-CN"/>
        </w:rPr>
        <w:t>discret</w:t>
      </w:r>
      <w:r>
        <w:rPr>
          <w:rFonts w:ascii="Arial" w:eastAsia="SimSun" w:hAnsi="Arial" w:cs="Arial"/>
          <w:bCs/>
          <w:sz w:val="20"/>
          <w:lang w:eastAsia="zh-CN"/>
        </w:rPr>
        <w:t>ion to limit vesting outcomes</w:t>
      </w:r>
      <w:r w:rsidRPr="00BC7CD3">
        <w:rPr>
          <w:rFonts w:ascii="Arial" w:eastAsia="SimSun" w:hAnsi="Arial" w:cs="Arial"/>
          <w:bCs/>
          <w:sz w:val="20"/>
          <w:lang w:eastAsia="zh-CN"/>
        </w:rPr>
        <w:t xml:space="preserve"> if specific monetary limits are exceeded.</w:t>
      </w:r>
    </w:p>
    <w:p w:rsidR="00CC7B71" w:rsidRPr="000F2A44" w:rsidRDefault="00213A05" w:rsidP="00CC7B71">
      <w:pPr>
        <w:rPr>
          <w:rFonts w:ascii="Arial" w:eastAsia="SimSun" w:hAnsi="Arial" w:cs="Arial"/>
          <w:bCs/>
          <w:sz w:val="20"/>
          <w:lang w:eastAsia="zh-CN"/>
        </w:rPr>
      </w:pPr>
      <w:hyperlink r:id="rId21" w:history="1">
        <w:r w:rsidR="00CC7B71" w:rsidRPr="002B35DD">
          <w:rPr>
            <w:rStyle w:val="Hyperlink"/>
            <w:rFonts w:ascii="Arial" w:eastAsia="SimSun" w:hAnsi="Arial" w:cs="Arial"/>
            <w:bCs/>
            <w:sz w:val="20"/>
            <w:lang w:eastAsia="zh-CN"/>
          </w:rPr>
          <w:t>Read more</w:t>
        </w:r>
      </w:hyperlink>
    </w:p>
    <w:p w:rsidR="00E629CD" w:rsidRDefault="00E629CD" w:rsidP="002D5062">
      <w:pPr>
        <w:rPr>
          <w:rFonts w:ascii="Arial" w:eastAsia="SimSun" w:hAnsi="Arial" w:cs="Arial"/>
          <w:b/>
          <w:bCs/>
          <w:color w:val="800000"/>
          <w:sz w:val="20"/>
          <w:lang w:eastAsia="zh-CN"/>
        </w:rPr>
      </w:pPr>
    </w:p>
    <w:p w:rsidR="00C933BD" w:rsidRDefault="00C933BD" w:rsidP="002D5062">
      <w:pPr>
        <w:rPr>
          <w:rFonts w:ascii="Arial" w:eastAsia="SimSun" w:hAnsi="Arial" w:cs="Arial"/>
          <w:b/>
          <w:bCs/>
          <w:color w:val="800000"/>
          <w:sz w:val="20"/>
          <w:lang w:eastAsia="zh-CN"/>
        </w:rPr>
      </w:pPr>
      <w:r>
        <w:rPr>
          <w:rFonts w:ascii="Arial" w:eastAsia="SimSun" w:hAnsi="Arial" w:cs="Arial"/>
          <w:b/>
          <w:bCs/>
          <w:color w:val="800000"/>
          <w:sz w:val="20"/>
          <w:lang w:eastAsia="zh-CN"/>
        </w:rPr>
        <w:t>INSURANCE</w:t>
      </w:r>
    </w:p>
    <w:p w:rsidR="00C933BD" w:rsidRPr="00BD7DA1" w:rsidRDefault="00C933BD" w:rsidP="00C933BD">
      <w:pPr>
        <w:rPr>
          <w:rFonts w:ascii="Arial" w:eastAsia="SimSun" w:hAnsi="Arial" w:cs="Arial"/>
          <w:bCs/>
          <w:sz w:val="20"/>
          <w:lang w:eastAsia="zh-CN"/>
        </w:rPr>
      </w:pPr>
      <w:r w:rsidRPr="00BD7DA1">
        <w:rPr>
          <w:rFonts w:ascii="Arial" w:eastAsia="SimSun" w:hAnsi="Arial" w:cs="Arial"/>
          <w:bCs/>
          <w:sz w:val="20"/>
          <w:lang w:eastAsia="zh-CN"/>
        </w:rPr>
        <w:t> </w:t>
      </w:r>
    </w:p>
    <w:p w:rsidR="000A219C" w:rsidRPr="000A219C" w:rsidRDefault="000A219C" w:rsidP="000A219C">
      <w:pPr>
        <w:rPr>
          <w:rFonts w:ascii="Arial" w:eastAsia="SimSun" w:hAnsi="Arial" w:cs="Arial"/>
          <w:b/>
          <w:bCs/>
          <w:sz w:val="20"/>
          <w:lang w:eastAsia="zh-CN"/>
        </w:rPr>
      </w:pPr>
      <w:bookmarkStart w:id="2" w:name="2"/>
      <w:bookmarkStart w:id="3" w:name="7"/>
      <w:bookmarkEnd w:id="2"/>
      <w:bookmarkEnd w:id="3"/>
      <w:r w:rsidRPr="000A219C">
        <w:rPr>
          <w:rFonts w:ascii="Arial" w:eastAsia="SimSun" w:hAnsi="Arial" w:cs="Arial"/>
          <w:b/>
          <w:bCs/>
          <w:sz w:val="20"/>
          <w:lang w:eastAsia="zh-CN"/>
        </w:rPr>
        <w:t>UK government and insurance industry associations renew agreement on age and insurance</w:t>
      </w:r>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 xml:space="preserve">On 6 November, the British Insurance Brokers' Association (BIBA) published a </w:t>
      </w:r>
      <w:r w:rsidRPr="000A219C">
        <w:rPr>
          <w:rFonts w:ascii="Arial" w:eastAsia="SimSun" w:hAnsi="Arial" w:cs="Arial"/>
          <w:bCs/>
          <w:iCs/>
          <w:sz w:val="20"/>
          <w:lang w:eastAsia="zh-CN"/>
        </w:rPr>
        <w:t>press release</w:t>
      </w:r>
      <w:r w:rsidRPr="000A219C">
        <w:rPr>
          <w:rFonts w:ascii="Arial" w:eastAsia="SimSun" w:hAnsi="Arial" w:cs="Arial"/>
          <w:bCs/>
          <w:sz w:val="20"/>
          <w:lang w:eastAsia="zh-CN"/>
        </w:rPr>
        <w:t xml:space="preserve"> announcing that it, the Association of British Insurers (ABI) and the UK government have renewed their agreement on age and insurance. The agreement applies to motor and travel insurance contracts entered into in Great Britain on or after 5 November that are private, voluntary and separate from an employment relationship. The update introduces the following duties; (i) Providing customers with alternative providers in cases where they are above a maximum age limit used by an insurer and; (ii) Publishing data used in the assessment of risk for insuring older customers.   </w:t>
      </w:r>
    </w:p>
    <w:p w:rsidR="000A219C" w:rsidRPr="000A219C" w:rsidRDefault="00213A05" w:rsidP="000A219C">
      <w:pPr>
        <w:rPr>
          <w:rFonts w:ascii="Arial" w:eastAsia="SimSun" w:hAnsi="Arial" w:cs="Arial"/>
          <w:bCs/>
          <w:sz w:val="20"/>
          <w:lang w:eastAsia="zh-CN"/>
        </w:rPr>
      </w:pPr>
      <w:hyperlink r:id="rId22" w:history="1">
        <w:r w:rsidR="000A219C" w:rsidRPr="000A219C">
          <w:rPr>
            <w:rStyle w:val="Hyperlink"/>
            <w:rFonts w:ascii="Arial" w:eastAsia="SimSun" w:hAnsi="Arial" w:cs="Arial"/>
            <w:bCs/>
            <w:sz w:val="20"/>
            <w:lang w:eastAsia="zh-CN"/>
          </w:rPr>
          <w:t>Read more</w:t>
        </w:r>
      </w:hyperlink>
    </w:p>
    <w:p w:rsidR="000A219C" w:rsidRDefault="000A219C" w:rsidP="00C933BD">
      <w:pPr>
        <w:rPr>
          <w:rFonts w:ascii="Arial" w:eastAsia="SimSun" w:hAnsi="Arial" w:cs="Arial"/>
          <w:b/>
          <w:bCs/>
          <w:sz w:val="20"/>
          <w:lang w:eastAsia="zh-CN"/>
        </w:rPr>
      </w:pPr>
    </w:p>
    <w:p w:rsidR="00C933BD" w:rsidRPr="00BD7DA1" w:rsidRDefault="00C933BD" w:rsidP="00C933BD">
      <w:pPr>
        <w:rPr>
          <w:rFonts w:ascii="Arial" w:eastAsia="SimSun" w:hAnsi="Arial" w:cs="Arial"/>
          <w:b/>
          <w:bCs/>
          <w:sz w:val="20"/>
          <w:lang w:eastAsia="zh-CN"/>
        </w:rPr>
      </w:pPr>
      <w:r w:rsidRPr="00BD7DA1">
        <w:rPr>
          <w:rFonts w:ascii="Arial" w:eastAsia="SimSun" w:hAnsi="Arial" w:cs="Arial"/>
          <w:b/>
          <w:bCs/>
          <w:sz w:val="20"/>
          <w:lang w:eastAsia="zh-CN"/>
        </w:rPr>
        <w:t xml:space="preserve">PRA </w:t>
      </w:r>
      <w:r w:rsidR="00525CC7">
        <w:rPr>
          <w:rFonts w:ascii="Arial" w:eastAsia="SimSun" w:hAnsi="Arial" w:cs="Arial"/>
          <w:b/>
          <w:bCs/>
          <w:sz w:val="20"/>
          <w:lang w:eastAsia="zh-CN"/>
        </w:rPr>
        <w:t>publishes letter on r</w:t>
      </w:r>
      <w:r w:rsidRPr="00BD7DA1">
        <w:rPr>
          <w:rFonts w:ascii="Arial" w:eastAsia="SimSun" w:hAnsi="Arial" w:cs="Arial"/>
          <w:b/>
          <w:bCs/>
          <w:sz w:val="20"/>
          <w:lang w:eastAsia="zh-CN"/>
        </w:rPr>
        <w:t>eserving reviews in 2019</w:t>
      </w:r>
    </w:p>
    <w:p w:rsidR="00C933BD" w:rsidRDefault="00C933BD" w:rsidP="00C933BD">
      <w:pPr>
        <w:rPr>
          <w:rFonts w:ascii="Arial" w:eastAsia="SimSun" w:hAnsi="Arial" w:cs="Arial"/>
          <w:bCs/>
          <w:sz w:val="20"/>
          <w:lang w:eastAsia="zh-CN"/>
        </w:rPr>
      </w:pPr>
      <w:r w:rsidRPr="00BD7DA1">
        <w:rPr>
          <w:rFonts w:ascii="Arial" w:eastAsia="SimSun" w:hAnsi="Arial" w:cs="Arial"/>
          <w:bCs/>
          <w:sz w:val="20"/>
          <w:lang w:eastAsia="zh-CN"/>
        </w:rPr>
        <w:t xml:space="preserve">On 5 November, the PRA published a </w:t>
      </w:r>
      <w:r w:rsidRPr="00BF3968">
        <w:rPr>
          <w:rFonts w:ascii="Arial" w:eastAsia="SimSun" w:hAnsi="Arial" w:cs="Arial"/>
          <w:bCs/>
          <w:iCs/>
          <w:sz w:val="20"/>
          <w:lang w:eastAsia="zh-CN"/>
        </w:rPr>
        <w:t>letter</w:t>
      </w:r>
      <w:r w:rsidRPr="00BF3968">
        <w:rPr>
          <w:rFonts w:ascii="Arial" w:eastAsia="SimSun" w:hAnsi="Arial" w:cs="Arial"/>
          <w:bCs/>
          <w:sz w:val="20"/>
          <w:lang w:eastAsia="zh-CN"/>
        </w:rPr>
        <w:t xml:space="preserve"> </w:t>
      </w:r>
      <w:r w:rsidRPr="00BD7DA1">
        <w:rPr>
          <w:rFonts w:ascii="Arial" w:eastAsia="SimSun" w:hAnsi="Arial" w:cs="Arial"/>
          <w:bCs/>
          <w:sz w:val="20"/>
          <w:lang w:eastAsia="zh-CN"/>
        </w:rPr>
        <w:t>setting out feedback on reserving reviews carried out by the PRA in 2019.</w:t>
      </w:r>
      <w:r>
        <w:rPr>
          <w:rFonts w:ascii="Arial" w:eastAsia="SimSun" w:hAnsi="Arial" w:cs="Arial"/>
          <w:bCs/>
          <w:sz w:val="20"/>
          <w:lang w:eastAsia="zh-CN"/>
        </w:rPr>
        <w:t xml:space="preserve"> Key issues, </w:t>
      </w:r>
      <w:r w:rsidRPr="00BD7DA1">
        <w:rPr>
          <w:rFonts w:ascii="Arial" w:eastAsia="SimSun" w:hAnsi="Arial" w:cs="Arial"/>
          <w:bCs/>
          <w:sz w:val="20"/>
          <w:lang w:eastAsia="zh-CN"/>
        </w:rPr>
        <w:t>which are set out in the letter</w:t>
      </w:r>
      <w:r>
        <w:rPr>
          <w:rFonts w:ascii="Arial" w:eastAsia="SimSun" w:hAnsi="Arial" w:cs="Arial"/>
          <w:bCs/>
          <w:sz w:val="20"/>
          <w:lang w:eastAsia="zh-CN"/>
        </w:rPr>
        <w:t xml:space="preserve"> include; (i) B</w:t>
      </w:r>
      <w:r w:rsidRPr="00BD7DA1">
        <w:rPr>
          <w:rFonts w:ascii="Arial" w:eastAsia="SimSun" w:hAnsi="Arial" w:cs="Arial"/>
          <w:bCs/>
          <w:sz w:val="20"/>
          <w:lang w:eastAsia="zh-CN"/>
        </w:rPr>
        <w:t>ias in reserve assessment</w:t>
      </w:r>
      <w:r>
        <w:rPr>
          <w:rFonts w:ascii="Arial" w:eastAsia="SimSun" w:hAnsi="Arial" w:cs="Arial"/>
          <w:bCs/>
          <w:sz w:val="20"/>
          <w:lang w:eastAsia="zh-CN"/>
        </w:rPr>
        <w:t>; (ii)</w:t>
      </w:r>
      <w:r w:rsidRPr="00BD7DA1">
        <w:rPr>
          <w:rFonts w:ascii="Arial" w:eastAsia="SimSun" w:hAnsi="Arial" w:cs="Arial"/>
          <w:bCs/>
          <w:sz w:val="20"/>
          <w:lang w:eastAsia="zh-CN"/>
        </w:rPr>
        <w:t xml:space="preserve"> weakeni</w:t>
      </w:r>
      <w:r>
        <w:rPr>
          <w:rFonts w:ascii="Arial" w:eastAsia="SimSun" w:hAnsi="Arial" w:cs="Arial"/>
          <w:bCs/>
          <w:sz w:val="20"/>
          <w:lang w:eastAsia="zh-CN"/>
        </w:rPr>
        <w:t xml:space="preserve">ng in the case reserving basis; (iii) </w:t>
      </w:r>
      <w:r w:rsidRPr="00BD7DA1">
        <w:rPr>
          <w:rFonts w:ascii="Arial" w:eastAsia="SimSun" w:hAnsi="Arial" w:cs="Arial"/>
          <w:bCs/>
          <w:sz w:val="20"/>
          <w:lang w:eastAsia="zh-CN"/>
        </w:rPr>
        <w:t>inadeq</w:t>
      </w:r>
      <w:r>
        <w:rPr>
          <w:rFonts w:ascii="Arial" w:eastAsia="SimSun" w:hAnsi="Arial" w:cs="Arial"/>
          <w:bCs/>
          <w:sz w:val="20"/>
          <w:lang w:eastAsia="zh-CN"/>
        </w:rPr>
        <w:t xml:space="preserve">uate claims inflation allowance; (iv) </w:t>
      </w:r>
      <w:proofErr w:type="spellStart"/>
      <w:r w:rsidRPr="00BD7DA1">
        <w:rPr>
          <w:rFonts w:ascii="Arial" w:eastAsia="SimSun" w:hAnsi="Arial" w:cs="Arial"/>
          <w:bCs/>
          <w:sz w:val="20"/>
          <w:lang w:eastAsia="zh-CN"/>
        </w:rPr>
        <w:t>attritional</w:t>
      </w:r>
      <w:proofErr w:type="spellEnd"/>
      <w:r w:rsidRPr="00BD7DA1">
        <w:rPr>
          <w:rFonts w:ascii="Arial" w:eastAsia="SimSun" w:hAnsi="Arial" w:cs="Arial"/>
          <w:bCs/>
          <w:sz w:val="20"/>
          <w:lang w:eastAsia="zh-CN"/>
        </w:rPr>
        <w:t xml:space="preserve"> loss deterioration, and</w:t>
      </w:r>
      <w:r>
        <w:rPr>
          <w:rFonts w:ascii="Arial" w:eastAsia="SimSun" w:hAnsi="Arial" w:cs="Arial"/>
          <w:bCs/>
          <w:sz w:val="20"/>
          <w:lang w:eastAsia="zh-CN"/>
        </w:rPr>
        <w:t>; (v)</w:t>
      </w:r>
      <w:r w:rsidRPr="00BD7DA1">
        <w:rPr>
          <w:rFonts w:ascii="Arial" w:eastAsia="SimSun" w:hAnsi="Arial" w:cs="Arial"/>
          <w:bCs/>
          <w:sz w:val="20"/>
          <w:lang w:eastAsia="zh-CN"/>
        </w:rPr>
        <w:t xml:space="preserve"> transparency over key judgements and assumptions in management information (MI). The PRA also sets out other relevant areas of uncertainty that it expects firms to consider actively as part of their year-end reserving. </w:t>
      </w:r>
      <w:r>
        <w:rPr>
          <w:rFonts w:ascii="Arial" w:eastAsia="SimSun" w:hAnsi="Arial" w:cs="Arial"/>
          <w:bCs/>
          <w:sz w:val="20"/>
          <w:lang w:eastAsia="zh-CN"/>
        </w:rPr>
        <w:t xml:space="preserve">The PRA seeks to challenge firms that demonstrate weakness in the areas outlined above. </w:t>
      </w:r>
    </w:p>
    <w:p w:rsidR="00C933BD" w:rsidRDefault="00213A05" w:rsidP="00C933BD">
      <w:pPr>
        <w:rPr>
          <w:rFonts w:ascii="Arial" w:eastAsia="SimSun" w:hAnsi="Arial" w:cs="Arial"/>
          <w:bCs/>
          <w:sz w:val="20"/>
          <w:lang w:eastAsia="zh-CN"/>
        </w:rPr>
      </w:pPr>
      <w:hyperlink r:id="rId23" w:history="1">
        <w:r w:rsidR="00C933BD" w:rsidRPr="00BF3968">
          <w:rPr>
            <w:rStyle w:val="Hyperlink"/>
            <w:rFonts w:ascii="Arial" w:eastAsia="SimSun" w:hAnsi="Arial" w:cs="Arial"/>
            <w:bCs/>
            <w:sz w:val="20"/>
            <w:lang w:eastAsia="zh-CN"/>
          </w:rPr>
          <w:t>Read more</w:t>
        </w:r>
      </w:hyperlink>
    </w:p>
    <w:p w:rsidR="00C933BD" w:rsidRPr="00BD7DA1" w:rsidRDefault="00C933BD" w:rsidP="00C933BD">
      <w:pPr>
        <w:rPr>
          <w:rFonts w:ascii="Arial" w:eastAsia="SimSun" w:hAnsi="Arial" w:cs="Arial"/>
          <w:bCs/>
          <w:sz w:val="20"/>
          <w:lang w:eastAsia="zh-CN"/>
        </w:rPr>
      </w:pPr>
      <w:r w:rsidRPr="00BD7DA1">
        <w:rPr>
          <w:rFonts w:ascii="Arial" w:eastAsia="SimSun" w:hAnsi="Arial" w:cs="Arial"/>
          <w:bCs/>
          <w:sz w:val="20"/>
          <w:lang w:eastAsia="zh-CN"/>
        </w:rPr>
        <w:t> </w:t>
      </w:r>
    </w:p>
    <w:p w:rsidR="00C933BD" w:rsidRPr="00BD7DA1" w:rsidRDefault="00C933BD" w:rsidP="00C933BD">
      <w:pPr>
        <w:rPr>
          <w:rFonts w:ascii="Arial" w:eastAsia="SimSun" w:hAnsi="Arial" w:cs="Arial"/>
          <w:b/>
          <w:bCs/>
          <w:sz w:val="20"/>
          <w:lang w:eastAsia="zh-CN"/>
        </w:rPr>
      </w:pPr>
      <w:bookmarkStart w:id="4" w:name="8"/>
      <w:bookmarkEnd w:id="4"/>
      <w:r w:rsidRPr="00BD7DA1">
        <w:rPr>
          <w:rFonts w:ascii="Arial" w:eastAsia="SimSun" w:hAnsi="Arial" w:cs="Arial"/>
          <w:b/>
          <w:bCs/>
          <w:sz w:val="20"/>
          <w:lang w:eastAsia="zh-CN"/>
        </w:rPr>
        <w:t xml:space="preserve">PRA </w:t>
      </w:r>
      <w:r w:rsidR="00525CC7">
        <w:rPr>
          <w:rFonts w:ascii="Arial" w:eastAsia="SimSun" w:hAnsi="Arial" w:cs="Arial"/>
          <w:b/>
          <w:bCs/>
          <w:sz w:val="20"/>
          <w:lang w:eastAsia="zh-CN"/>
        </w:rPr>
        <w:t xml:space="preserve">publish Dear CEO letter outlining priorities </w:t>
      </w:r>
      <w:r w:rsidRPr="00BD7DA1">
        <w:rPr>
          <w:rFonts w:ascii="Arial" w:eastAsia="SimSun" w:hAnsi="Arial" w:cs="Arial"/>
          <w:b/>
          <w:bCs/>
          <w:sz w:val="20"/>
          <w:lang w:eastAsia="zh-CN"/>
        </w:rPr>
        <w:t xml:space="preserve">for GI sector </w:t>
      </w:r>
    </w:p>
    <w:p w:rsidR="00C933BD" w:rsidRDefault="00C933BD" w:rsidP="00C933BD">
      <w:pPr>
        <w:rPr>
          <w:rFonts w:ascii="Arial" w:eastAsia="SimSun" w:hAnsi="Arial" w:cs="Arial"/>
          <w:bCs/>
          <w:sz w:val="20"/>
          <w:lang w:eastAsia="zh-CN"/>
        </w:rPr>
      </w:pPr>
      <w:r w:rsidRPr="00BD7DA1">
        <w:rPr>
          <w:rFonts w:ascii="Arial" w:eastAsia="SimSun" w:hAnsi="Arial" w:cs="Arial"/>
          <w:bCs/>
          <w:sz w:val="20"/>
          <w:lang w:eastAsia="zh-CN"/>
        </w:rPr>
        <w:t xml:space="preserve">On 5 November, the PRA published a </w:t>
      </w:r>
      <w:r w:rsidRPr="00235DFB">
        <w:rPr>
          <w:rFonts w:ascii="Arial" w:eastAsia="SimSun" w:hAnsi="Arial" w:cs="Arial"/>
          <w:bCs/>
          <w:iCs/>
          <w:sz w:val="20"/>
          <w:lang w:eastAsia="zh-CN"/>
        </w:rPr>
        <w:t>letter</w:t>
      </w:r>
      <w:r w:rsidRPr="00235DFB">
        <w:rPr>
          <w:rFonts w:ascii="Arial" w:eastAsia="SimSun" w:hAnsi="Arial" w:cs="Arial"/>
          <w:bCs/>
          <w:sz w:val="20"/>
          <w:lang w:eastAsia="zh-CN"/>
        </w:rPr>
        <w:t>,</w:t>
      </w:r>
      <w:r w:rsidRPr="00BD7DA1">
        <w:rPr>
          <w:rFonts w:ascii="Arial" w:eastAsia="SimSun" w:hAnsi="Arial" w:cs="Arial"/>
          <w:bCs/>
          <w:sz w:val="20"/>
          <w:lang w:eastAsia="zh-CN"/>
        </w:rPr>
        <w:t xml:space="preserve"> sent to the CEOs of general insurance (GI) firms, outlining the PRA's priorities in the coming year</w:t>
      </w:r>
      <w:r>
        <w:rPr>
          <w:rFonts w:ascii="Arial" w:eastAsia="SimSun" w:hAnsi="Arial" w:cs="Arial"/>
          <w:bCs/>
          <w:sz w:val="20"/>
          <w:lang w:eastAsia="zh-CN"/>
        </w:rPr>
        <w:t xml:space="preserve">, whilst also </w:t>
      </w:r>
      <w:r w:rsidRPr="00BD7DA1">
        <w:rPr>
          <w:rFonts w:ascii="Arial" w:eastAsia="SimSun" w:hAnsi="Arial" w:cs="Arial"/>
          <w:bCs/>
          <w:sz w:val="20"/>
          <w:lang w:eastAsia="zh-CN"/>
        </w:rPr>
        <w:t>providing feedback from supervisory activity across the sector over the last year.</w:t>
      </w:r>
      <w:r>
        <w:rPr>
          <w:rFonts w:ascii="Arial" w:eastAsia="SimSun" w:hAnsi="Arial" w:cs="Arial"/>
          <w:bCs/>
          <w:sz w:val="20"/>
          <w:lang w:eastAsia="zh-CN"/>
        </w:rPr>
        <w:t xml:space="preserve"> </w:t>
      </w:r>
      <w:r w:rsidRPr="00BD7DA1">
        <w:rPr>
          <w:rFonts w:ascii="Arial" w:eastAsia="SimSun" w:hAnsi="Arial" w:cs="Arial"/>
          <w:bCs/>
          <w:sz w:val="20"/>
          <w:lang w:eastAsia="zh-CN"/>
        </w:rPr>
        <w:t>The PRA's priority areas of focus are</w:t>
      </w:r>
      <w:r w:rsidR="000F55F5">
        <w:rPr>
          <w:rFonts w:ascii="Arial" w:eastAsia="SimSun" w:hAnsi="Arial" w:cs="Arial"/>
          <w:bCs/>
          <w:sz w:val="20"/>
          <w:lang w:eastAsia="zh-CN"/>
        </w:rPr>
        <w:t>:</w:t>
      </w:r>
      <w:r>
        <w:rPr>
          <w:rFonts w:ascii="Arial" w:eastAsia="SimSun" w:hAnsi="Arial" w:cs="Arial"/>
          <w:bCs/>
          <w:sz w:val="20"/>
          <w:lang w:eastAsia="zh-CN"/>
        </w:rPr>
        <w:t xml:space="preserve"> (i) </w:t>
      </w:r>
      <w:r w:rsidRPr="00BD7DA1">
        <w:rPr>
          <w:rFonts w:ascii="Arial" w:eastAsia="SimSun" w:hAnsi="Arial" w:cs="Arial"/>
          <w:bCs/>
          <w:sz w:val="20"/>
          <w:lang w:eastAsia="zh-CN"/>
        </w:rPr>
        <w:t>Reserv</w:t>
      </w:r>
      <w:r>
        <w:rPr>
          <w:rFonts w:ascii="Arial" w:eastAsia="SimSun" w:hAnsi="Arial" w:cs="Arial"/>
          <w:bCs/>
          <w:sz w:val="20"/>
          <w:lang w:eastAsia="zh-CN"/>
        </w:rPr>
        <w:t>ing</w:t>
      </w:r>
      <w:r w:rsidRPr="00BD7DA1">
        <w:rPr>
          <w:rFonts w:ascii="Arial" w:eastAsia="SimSun" w:hAnsi="Arial" w:cs="Arial"/>
          <w:bCs/>
          <w:sz w:val="20"/>
          <w:lang w:eastAsia="zh-CN"/>
        </w:rPr>
        <w:t xml:space="preserve"> adequacy and associated reserving governance and controls, particularly in the light of emerging risk developments</w:t>
      </w:r>
      <w:r>
        <w:rPr>
          <w:rFonts w:ascii="Arial" w:eastAsia="SimSun" w:hAnsi="Arial" w:cs="Arial"/>
          <w:bCs/>
          <w:sz w:val="20"/>
          <w:lang w:eastAsia="zh-CN"/>
        </w:rPr>
        <w:t xml:space="preserve">; (ii) Challenging firms who lack discipline in underwriting strategies, remediation activity and controls; (iii) Reviewing firms’ exposure management approaches to assess the suitability of said plans under a backdrop of natural catastrophe and man-made accumulations; (iv) </w:t>
      </w:r>
      <w:r w:rsidRPr="00BD7DA1">
        <w:rPr>
          <w:rFonts w:ascii="Arial" w:eastAsia="SimSun" w:hAnsi="Arial" w:cs="Arial"/>
          <w:bCs/>
          <w:sz w:val="20"/>
          <w:lang w:eastAsia="zh-CN"/>
        </w:rPr>
        <w:t>Understanding UK retail general insurers' responses to the FCA's pricing practices review, once the review is finalised</w:t>
      </w:r>
      <w:r>
        <w:rPr>
          <w:rFonts w:ascii="Arial" w:eastAsia="SimSun" w:hAnsi="Arial" w:cs="Arial"/>
          <w:bCs/>
          <w:sz w:val="20"/>
          <w:lang w:eastAsia="zh-CN"/>
        </w:rPr>
        <w:t xml:space="preserve"> and; (v) </w:t>
      </w:r>
      <w:r w:rsidRPr="00BD7DA1">
        <w:rPr>
          <w:rFonts w:ascii="Arial" w:eastAsia="SimSun" w:hAnsi="Arial" w:cs="Arial"/>
          <w:bCs/>
          <w:sz w:val="20"/>
          <w:lang w:eastAsia="zh-CN"/>
        </w:rPr>
        <w:t>Ensuring firms develop and maintain a culture where staff feel able to speak up and raise concerns, with effective mechanisms in pl</w:t>
      </w:r>
      <w:r>
        <w:rPr>
          <w:rFonts w:ascii="Arial" w:eastAsia="SimSun" w:hAnsi="Arial" w:cs="Arial"/>
          <w:bCs/>
          <w:sz w:val="20"/>
          <w:lang w:eastAsia="zh-CN"/>
        </w:rPr>
        <w:t xml:space="preserve">ace to support them in doing so. </w:t>
      </w:r>
      <w:r w:rsidRPr="00BD7DA1">
        <w:rPr>
          <w:rFonts w:ascii="Arial" w:eastAsia="SimSun" w:hAnsi="Arial" w:cs="Arial"/>
          <w:bCs/>
          <w:sz w:val="20"/>
          <w:lang w:eastAsia="zh-CN"/>
        </w:rPr>
        <w:t xml:space="preserve">The PRA encourages firms to assess the issues identified in the letter and consider whether they are relevant. </w:t>
      </w:r>
    </w:p>
    <w:p w:rsidR="00C933BD" w:rsidRDefault="00213A05" w:rsidP="00C933BD">
      <w:pPr>
        <w:rPr>
          <w:rStyle w:val="Hyperlink"/>
          <w:rFonts w:ascii="Arial" w:eastAsia="SimSun" w:hAnsi="Arial" w:cs="Arial"/>
          <w:bCs/>
          <w:sz w:val="20"/>
          <w:lang w:eastAsia="zh-CN"/>
        </w:rPr>
      </w:pPr>
      <w:hyperlink r:id="rId24" w:history="1">
        <w:r w:rsidR="00C933BD" w:rsidRPr="00235DFB">
          <w:rPr>
            <w:rStyle w:val="Hyperlink"/>
            <w:rFonts w:ascii="Arial" w:eastAsia="SimSun" w:hAnsi="Arial" w:cs="Arial"/>
            <w:bCs/>
            <w:sz w:val="20"/>
            <w:lang w:eastAsia="zh-CN"/>
          </w:rPr>
          <w:t>Read more</w:t>
        </w:r>
      </w:hyperlink>
    </w:p>
    <w:p w:rsidR="00B43EB9" w:rsidRDefault="00B43EB9" w:rsidP="002D5062">
      <w:pPr>
        <w:rPr>
          <w:rFonts w:ascii="Arial" w:eastAsia="SimSun" w:hAnsi="Arial" w:cs="Arial"/>
          <w:b/>
          <w:bCs/>
          <w:color w:val="800000"/>
          <w:sz w:val="20"/>
          <w:lang w:eastAsia="zh-CN"/>
        </w:rPr>
      </w:pPr>
    </w:p>
    <w:p w:rsidR="002D5062" w:rsidRPr="001B2E03" w:rsidRDefault="002D5062" w:rsidP="002D5062">
      <w:pPr>
        <w:rPr>
          <w:rFonts w:ascii="Arial" w:eastAsia="SimSun" w:hAnsi="Arial" w:cs="Arial"/>
          <w:b/>
          <w:bCs/>
          <w:color w:val="800000"/>
          <w:sz w:val="20"/>
          <w:lang w:eastAsia="zh-CN"/>
        </w:rPr>
      </w:pPr>
      <w:r>
        <w:rPr>
          <w:rFonts w:ascii="Arial" w:eastAsia="SimSun" w:hAnsi="Arial" w:cs="Arial"/>
          <w:b/>
          <w:bCs/>
          <w:color w:val="800000"/>
          <w:sz w:val="20"/>
          <w:lang w:eastAsia="zh-CN"/>
        </w:rPr>
        <w:t>MARKETS AND MARKET INFRASTRUCTURE</w:t>
      </w:r>
    </w:p>
    <w:p w:rsidR="00525CC7" w:rsidRDefault="00525CC7" w:rsidP="002D5062">
      <w:pPr>
        <w:rPr>
          <w:rStyle w:val="Hyperlink"/>
          <w:rFonts w:ascii="Arial" w:eastAsia="SimSun" w:hAnsi="Arial" w:cs="Arial"/>
          <w:bCs/>
          <w:sz w:val="20"/>
          <w:lang w:eastAsia="zh-CN"/>
        </w:rPr>
      </w:pPr>
    </w:p>
    <w:p w:rsidR="00525CC7" w:rsidRPr="003F59D2" w:rsidRDefault="0036775F" w:rsidP="00525CC7">
      <w:pPr>
        <w:rPr>
          <w:rFonts w:ascii="Arial" w:eastAsia="SimSun" w:hAnsi="Arial" w:cs="Arial"/>
          <w:b/>
          <w:bCs/>
          <w:sz w:val="20"/>
          <w:lang w:eastAsia="zh-CN"/>
        </w:rPr>
      </w:pPr>
      <w:r>
        <w:rPr>
          <w:rFonts w:ascii="Arial" w:eastAsia="SimSun" w:hAnsi="Arial" w:cs="Arial"/>
          <w:b/>
          <w:bCs/>
          <w:sz w:val="20"/>
          <w:lang w:eastAsia="zh-CN"/>
        </w:rPr>
        <w:t>RTS on the</w:t>
      </w:r>
      <w:r w:rsidR="00525CC7">
        <w:rPr>
          <w:rFonts w:ascii="Arial" w:eastAsia="SimSun" w:hAnsi="Arial" w:cs="Arial"/>
          <w:b/>
          <w:bCs/>
          <w:sz w:val="20"/>
          <w:lang w:eastAsia="zh-CN"/>
        </w:rPr>
        <w:t xml:space="preserve"> homogeneity </w:t>
      </w:r>
      <w:r w:rsidR="00CF6B64">
        <w:rPr>
          <w:rFonts w:ascii="Arial" w:eastAsia="SimSun" w:hAnsi="Arial" w:cs="Arial"/>
          <w:b/>
          <w:bCs/>
          <w:sz w:val="20"/>
          <w:lang w:eastAsia="zh-CN"/>
        </w:rPr>
        <w:t xml:space="preserve">of the underlying exposures in securitisation </w:t>
      </w:r>
      <w:r w:rsidR="00525CC7">
        <w:rPr>
          <w:rFonts w:ascii="Arial" w:eastAsia="SimSun" w:hAnsi="Arial" w:cs="Arial"/>
          <w:b/>
          <w:bCs/>
          <w:sz w:val="20"/>
          <w:lang w:eastAsia="zh-CN"/>
        </w:rPr>
        <w:t xml:space="preserve">published in </w:t>
      </w:r>
      <w:r>
        <w:rPr>
          <w:rFonts w:ascii="Arial" w:eastAsia="SimSun" w:hAnsi="Arial" w:cs="Arial"/>
          <w:b/>
          <w:bCs/>
          <w:sz w:val="20"/>
          <w:lang w:eastAsia="zh-CN"/>
        </w:rPr>
        <w:t>the OJ</w:t>
      </w:r>
    </w:p>
    <w:p w:rsidR="00525CC7" w:rsidRDefault="00525CC7" w:rsidP="00525CC7">
      <w:pPr>
        <w:rPr>
          <w:rFonts w:ascii="Arial" w:eastAsia="SimSun" w:hAnsi="Arial" w:cs="Arial"/>
          <w:bCs/>
          <w:sz w:val="20"/>
          <w:lang w:eastAsia="zh-CN"/>
        </w:rPr>
      </w:pPr>
      <w:r>
        <w:rPr>
          <w:rFonts w:ascii="Arial" w:eastAsia="SimSun" w:hAnsi="Arial" w:cs="Arial"/>
          <w:bCs/>
          <w:sz w:val="20"/>
          <w:lang w:eastAsia="zh-CN"/>
        </w:rPr>
        <w:lastRenderedPageBreak/>
        <w:t>On 6 November</w:t>
      </w:r>
      <w:r w:rsidRPr="003F59D2">
        <w:rPr>
          <w:rFonts w:ascii="Arial" w:eastAsia="SimSun" w:hAnsi="Arial" w:cs="Arial"/>
          <w:bCs/>
          <w:sz w:val="20"/>
          <w:lang w:eastAsia="zh-CN"/>
        </w:rPr>
        <w:t xml:space="preserve">, </w:t>
      </w:r>
      <w:r w:rsidR="00C32692">
        <w:rPr>
          <w:rFonts w:ascii="Arial" w:eastAsia="SimSun" w:hAnsi="Arial" w:cs="Arial"/>
          <w:bCs/>
          <w:sz w:val="20"/>
          <w:lang w:eastAsia="zh-CN"/>
        </w:rPr>
        <w:t xml:space="preserve">the </w:t>
      </w:r>
      <w:r w:rsidRPr="007A5719">
        <w:rPr>
          <w:rFonts w:ascii="Arial" w:eastAsia="SimSun" w:hAnsi="Arial" w:cs="Arial"/>
          <w:bCs/>
          <w:iCs/>
          <w:sz w:val="20"/>
          <w:lang w:eastAsia="zh-CN"/>
        </w:rPr>
        <w:t>Delegated Regulation (EU) 2019/1851</w:t>
      </w:r>
      <w:r w:rsidRPr="007A5719">
        <w:rPr>
          <w:rFonts w:ascii="Arial" w:eastAsia="SimSun" w:hAnsi="Arial" w:cs="Arial"/>
          <w:bCs/>
          <w:sz w:val="20"/>
          <w:lang w:eastAsia="zh-CN"/>
        </w:rPr>
        <w:t xml:space="preserve"> </w:t>
      </w:r>
      <w:r>
        <w:rPr>
          <w:rFonts w:ascii="Arial" w:eastAsia="SimSun" w:hAnsi="Arial" w:cs="Arial"/>
          <w:bCs/>
          <w:sz w:val="20"/>
          <w:lang w:eastAsia="zh-CN"/>
        </w:rPr>
        <w:t>which establishes the requirements for underlying exposures of a securitisation to be considered homogenous</w:t>
      </w:r>
      <w:r w:rsidR="00C02306">
        <w:rPr>
          <w:rFonts w:ascii="Arial" w:eastAsia="SimSun" w:hAnsi="Arial" w:cs="Arial"/>
          <w:bCs/>
          <w:sz w:val="20"/>
          <w:lang w:eastAsia="zh-CN"/>
        </w:rPr>
        <w:t xml:space="preserve"> (the Regulation)</w:t>
      </w:r>
      <w:r w:rsidR="00C32692">
        <w:rPr>
          <w:rFonts w:ascii="Arial" w:eastAsia="SimSun" w:hAnsi="Arial" w:cs="Arial"/>
          <w:bCs/>
          <w:sz w:val="20"/>
          <w:lang w:eastAsia="zh-CN"/>
        </w:rPr>
        <w:t xml:space="preserve"> was published in the OJ</w:t>
      </w:r>
      <w:r>
        <w:rPr>
          <w:rFonts w:ascii="Arial" w:eastAsia="SimSun" w:hAnsi="Arial" w:cs="Arial"/>
          <w:bCs/>
          <w:sz w:val="20"/>
          <w:lang w:eastAsia="zh-CN"/>
        </w:rPr>
        <w:t>. Homogeneity</w:t>
      </w:r>
      <w:r w:rsidR="00496B22">
        <w:rPr>
          <w:rFonts w:ascii="Arial" w:eastAsia="SimSun" w:hAnsi="Arial" w:cs="Arial"/>
          <w:bCs/>
          <w:sz w:val="20"/>
          <w:lang w:eastAsia="zh-CN"/>
        </w:rPr>
        <w:t xml:space="preserve"> </w:t>
      </w:r>
      <w:r w:rsidR="00496B22" w:rsidRPr="00496B22">
        <w:rPr>
          <w:rFonts w:ascii="Arial" w:eastAsia="SimSun" w:hAnsi="Arial" w:cs="Arial"/>
          <w:bCs/>
          <w:sz w:val="20"/>
          <w:lang w:eastAsia="zh-CN"/>
        </w:rPr>
        <w:t>of the underlying exposures</w:t>
      </w:r>
      <w:r>
        <w:rPr>
          <w:rFonts w:ascii="Arial" w:eastAsia="SimSun" w:hAnsi="Arial" w:cs="Arial"/>
          <w:bCs/>
          <w:sz w:val="20"/>
          <w:lang w:eastAsia="zh-CN"/>
        </w:rPr>
        <w:t xml:space="preserve"> is one of the</w:t>
      </w:r>
      <w:r w:rsidRPr="003F59D2">
        <w:rPr>
          <w:rFonts w:ascii="Arial" w:eastAsia="SimSun" w:hAnsi="Arial" w:cs="Arial"/>
          <w:bCs/>
          <w:sz w:val="20"/>
          <w:lang w:eastAsia="zh-CN"/>
        </w:rPr>
        <w:t xml:space="preserve"> requirements for simple, transparent and standardised securitisation under the new EU securitisation framework. </w:t>
      </w:r>
      <w:r>
        <w:rPr>
          <w:rFonts w:ascii="Arial" w:eastAsia="SimSun" w:hAnsi="Arial" w:cs="Arial"/>
          <w:bCs/>
          <w:sz w:val="20"/>
          <w:lang w:eastAsia="zh-CN"/>
        </w:rPr>
        <w:t>To be considered homoge</w:t>
      </w:r>
      <w:r w:rsidR="00C32692">
        <w:rPr>
          <w:rFonts w:ascii="Arial" w:eastAsia="SimSun" w:hAnsi="Arial" w:cs="Arial"/>
          <w:bCs/>
          <w:sz w:val="20"/>
          <w:lang w:eastAsia="zh-CN"/>
        </w:rPr>
        <w:t>nous, underlying exposures must</w:t>
      </w:r>
      <w:r w:rsidR="003C38DA">
        <w:rPr>
          <w:rFonts w:ascii="Arial" w:eastAsia="SimSun" w:hAnsi="Arial" w:cs="Arial"/>
          <w:bCs/>
          <w:sz w:val="20"/>
          <w:lang w:eastAsia="zh-CN"/>
        </w:rPr>
        <w:t>, inter alia</w:t>
      </w:r>
      <w:r w:rsidR="00C32692">
        <w:rPr>
          <w:rFonts w:ascii="Arial" w:eastAsia="SimSun" w:hAnsi="Arial" w:cs="Arial"/>
          <w:bCs/>
          <w:sz w:val="20"/>
          <w:lang w:eastAsia="zh-CN"/>
        </w:rPr>
        <w:t>: (i) c</w:t>
      </w:r>
      <w:r>
        <w:rPr>
          <w:rFonts w:ascii="Arial" w:eastAsia="SimSun" w:hAnsi="Arial" w:cs="Arial"/>
          <w:bCs/>
          <w:sz w:val="20"/>
          <w:lang w:eastAsia="zh-CN"/>
        </w:rPr>
        <w:t xml:space="preserve">orrespond to a specific listed asset type; (ii) </w:t>
      </w:r>
      <w:r w:rsidR="00C02306">
        <w:rPr>
          <w:rFonts w:ascii="Arial" w:eastAsia="SimSun" w:hAnsi="Arial" w:cs="Arial"/>
          <w:bCs/>
          <w:sz w:val="20"/>
          <w:lang w:eastAsia="zh-CN"/>
        </w:rPr>
        <w:t>b</w:t>
      </w:r>
      <w:r w:rsidRPr="003F59D2">
        <w:rPr>
          <w:rFonts w:ascii="Arial" w:eastAsia="SimSun" w:hAnsi="Arial" w:cs="Arial"/>
          <w:bCs/>
          <w:sz w:val="20"/>
          <w:lang w:eastAsia="zh-CN"/>
        </w:rPr>
        <w:t xml:space="preserve">e underwritten with standards that apply similar approaches </w:t>
      </w:r>
      <w:r>
        <w:rPr>
          <w:rFonts w:ascii="Arial" w:eastAsia="SimSun" w:hAnsi="Arial" w:cs="Arial"/>
          <w:bCs/>
          <w:sz w:val="20"/>
          <w:lang w:eastAsia="zh-CN"/>
        </w:rPr>
        <w:t>for assessing</w:t>
      </w:r>
      <w:r w:rsidR="005E3B66">
        <w:rPr>
          <w:rFonts w:ascii="Arial" w:eastAsia="SimSun" w:hAnsi="Arial" w:cs="Arial"/>
          <w:bCs/>
          <w:sz w:val="20"/>
          <w:lang w:eastAsia="zh-CN"/>
        </w:rPr>
        <w:t xml:space="preserve"> associated credit</w:t>
      </w:r>
      <w:r w:rsidR="003C38DA">
        <w:rPr>
          <w:rFonts w:ascii="Arial" w:eastAsia="SimSun" w:hAnsi="Arial" w:cs="Arial"/>
          <w:bCs/>
          <w:sz w:val="20"/>
          <w:lang w:eastAsia="zh-CN"/>
        </w:rPr>
        <w:t xml:space="preserve"> risk; and (iii</w:t>
      </w:r>
      <w:r>
        <w:rPr>
          <w:rFonts w:ascii="Arial" w:eastAsia="SimSun" w:hAnsi="Arial" w:cs="Arial"/>
          <w:bCs/>
          <w:sz w:val="20"/>
          <w:lang w:eastAsia="zh-CN"/>
        </w:rPr>
        <w:t xml:space="preserve">) </w:t>
      </w:r>
      <w:r w:rsidR="00C02306">
        <w:rPr>
          <w:rFonts w:ascii="Arial" w:eastAsia="SimSun" w:hAnsi="Arial" w:cs="Arial"/>
          <w:bCs/>
          <w:sz w:val="20"/>
          <w:lang w:eastAsia="zh-CN"/>
        </w:rPr>
        <w:t>f</w:t>
      </w:r>
      <w:r w:rsidRPr="003F59D2">
        <w:rPr>
          <w:rFonts w:ascii="Arial" w:eastAsia="SimSun" w:hAnsi="Arial" w:cs="Arial"/>
          <w:bCs/>
          <w:sz w:val="20"/>
          <w:lang w:eastAsia="zh-CN"/>
        </w:rPr>
        <w:t>or most asset types, satisfy one or more of the homogeneity factors specified in the Regulation for the applicable asset class.</w:t>
      </w:r>
      <w:r>
        <w:rPr>
          <w:rFonts w:ascii="Arial" w:eastAsia="SimSun" w:hAnsi="Arial" w:cs="Arial"/>
          <w:bCs/>
          <w:sz w:val="20"/>
          <w:lang w:eastAsia="zh-CN"/>
        </w:rPr>
        <w:t xml:space="preserve"> </w:t>
      </w:r>
      <w:r w:rsidRPr="003F59D2">
        <w:rPr>
          <w:rFonts w:ascii="Arial" w:eastAsia="SimSun" w:hAnsi="Arial" w:cs="Arial"/>
          <w:bCs/>
          <w:sz w:val="20"/>
          <w:lang w:eastAsia="zh-CN"/>
        </w:rPr>
        <w:t>The Regulation applies to both asset-backed commercial paper (ABCP) and non-ABCP securitisations and will enter into force on the twentieth day following its publication in the OJ.</w:t>
      </w:r>
    </w:p>
    <w:p w:rsidR="00525CC7" w:rsidRPr="007A5719" w:rsidRDefault="00213A05" w:rsidP="00525CC7">
      <w:pPr>
        <w:rPr>
          <w:rFonts w:ascii="Arial" w:eastAsia="SimSun" w:hAnsi="Arial" w:cs="Arial"/>
          <w:bCs/>
          <w:sz w:val="20"/>
          <w:lang w:eastAsia="zh-CN"/>
        </w:rPr>
      </w:pPr>
      <w:hyperlink r:id="rId25" w:history="1">
        <w:r w:rsidR="00E32147">
          <w:rPr>
            <w:rStyle w:val="Hyperlink"/>
            <w:rFonts w:ascii="Arial" w:eastAsia="SimSun" w:hAnsi="Arial" w:cs="Arial"/>
            <w:bCs/>
            <w:iCs/>
            <w:sz w:val="20"/>
            <w:lang w:eastAsia="zh-CN"/>
          </w:rPr>
          <w:t>Read more</w:t>
        </w:r>
      </w:hyperlink>
    </w:p>
    <w:p w:rsidR="00525CC7" w:rsidRDefault="00525CC7" w:rsidP="002D5062">
      <w:pPr>
        <w:rPr>
          <w:rFonts w:ascii="Arial" w:eastAsia="SimSun" w:hAnsi="Arial" w:cs="Arial"/>
          <w:bCs/>
          <w:sz w:val="20"/>
          <w:lang w:eastAsia="zh-CN"/>
        </w:rPr>
      </w:pPr>
    </w:p>
    <w:p w:rsidR="00525CC7" w:rsidRPr="00525CC7" w:rsidRDefault="00525CC7" w:rsidP="00525CC7">
      <w:pPr>
        <w:rPr>
          <w:rFonts w:ascii="Arial" w:eastAsia="SimSun" w:hAnsi="Arial" w:cs="Arial"/>
          <w:b/>
          <w:bCs/>
          <w:sz w:val="20"/>
          <w:lang w:eastAsia="zh-CN"/>
        </w:rPr>
      </w:pPr>
      <w:r>
        <w:rPr>
          <w:rFonts w:ascii="Arial" w:eastAsia="SimSun" w:hAnsi="Arial" w:cs="Arial"/>
          <w:b/>
          <w:bCs/>
          <w:sz w:val="20"/>
          <w:lang w:eastAsia="zh-CN"/>
        </w:rPr>
        <w:t>R</w:t>
      </w:r>
      <w:r w:rsidRPr="003F59D2">
        <w:rPr>
          <w:rFonts w:ascii="Arial" w:eastAsia="SimSun" w:hAnsi="Arial" w:cs="Arial"/>
          <w:b/>
          <w:bCs/>
          <w:sz w:val="20"/>
          <w:lang w:eastAsia="zh-CN"/>
        </w:rPr>
        <w:t xml:space="preserve">ecommendations for </w:t>
      </w:r>
      <w:proofErr w:type="spellStart"/>
      <w:r w:rsidRPr="003F59D2">
        <w:rPr>
          <w:rFonts w:ascii="Arial" w:eastAsia="SimSun" w:hAnsi="Arial" w:cs="Arial"/>
          <w:b/>
          <w:bCs/>
          <w:sz w:val="20"/>
          <w:lang w:eastAsia="zh-CN"/>
        </w:rPr>
        <w:t>fallback</w:t>
      </w:r>
      <w:proofErr w:type="spellEnd"/>
      <w:r w:rsidRPr="003F59D2">
        <w:rPr>
          <w:rFonts w:ascii="Arial" w:eastAsia="SimSun" w:hAnsi="Arial" w:cs="Arial"/>
          <w:b/>
          <w:bCs/>
          <w:sz w:val="20"/>
          <w:lang w:eastAsia="zh-CN"/>
        </w:rPr>
        <w:t xml:space="preserve"> provisions in transactions referencing EURIBOR</w:t>
      </w:r>
      <w:r>
        <w:rPr>
          <w:rFonts w:ascii="Arial" w:eastAsia="SimSun" w:hAnsi="Arial" w:cs="Arial"/>
          <w:b/>
          <w:bCs/>
          <w:sz w:val="20"/>
          <w:lang w:eastAsia="zh-CN"/>
        </w:rPr>
        <w:t xml:space="preserve"> introduced by the ECB working group</w:t>
      </w:r>
    </w:p>
    <w:p w:rsidR="00525CC7" w:rsidRDefault="00525CC7" w:rsidP="00525CC7">
      <w:pPr>
        <w:rPr>
          <w:rStyle w:val="Hyperlink"/>
          <w:rFonts w:ascii="Arial" w:eastAsia="SimSun" w:hAnsi="Arial" w:cs="Arial"/>
          <w:bCs/>
          <w:sz w:val="20"/>
          <w:lang w:eastAsia="zh-CN"/>
        </w:rPr>
      </w:pPr>
      <w:r w:rsidRPr="008C3D12">
        <w:rPr>
          <w:rFonts w:ascii="Arial" w:eastAsia="SimSun" w:hAnsi="Arial" w:cs="Arial"/>
          <w:bCs/>
          <w:sz w:val="20"/>
          <w:lang w:eastAsia="zh-CN"/>
        </w:rPr>
        <w:t xml:space="preserve">On 6 November, the ECB working group on euro risk-free rates published a report setting out high level recommendations for </w:t>
      </w:r>
      <w:proofErr w:type="spellStart"/>
      <w:r w:rsidRPr="008C3D12">
        <w:rPr>
          <w:rFonts w:ascii="Arial" w:eastAsia="SimSun" w:hAnsi="Arial" w:cs="Arial"/>
          <w:bCs/>
          <w:sz w:val="20"/>
          <w:lang w:eastAsia="zh-CN"/>
        </w:rPr>
        <w:t>fallback</w:t>
      </w:r>
      <w:proofErr w:type="spellEnd"/>
      <w:r w:rsidRPr="008C3D12">
        <w:rPr>
          <w:rFonts w:ascii="Arial" w:eastAsia="SimSun" w:hAnsi="Arial" w:cs="Arial"/>
          <w:bCs/>
          <w:sz w:val="20"/>
          <w:lang w:eastAsia="zh-CN"/>
        </w:rPr>
        <w:t xml:space="preserve"> provisions in contracts for cash products and derivatives transactions referencing EURIBOR.</w:t>
      </w:r>
      <w:r>
        <w:rPr>
          <w:rFonts w:ascii="Arial" w:eastAsia="SimSun" w:hAnsi="Arial" w:cs="Arial"/>
          <w:bCs/>
          <w:sz w:val="20"/>
          <w:lang w:eastAsia="zh-CN"/>
        </w:rPr>
        <w:t xml:space="preserve"> </w:t>
      </w:r>
      <w:r w:rsidRPr="008C3D12">
        <w:rPr>
          <w:rFonts w:ascii="Arial" w:eastAsia="SimSun" w:hAnsi="Arial" w:cs="Arial"/>
          <w:bCs/>
          <w:sz w:val="20"/>
          <w:lang w:eastAsia="zh-CN"/>
        </w:rPr>
        <w:t>In January</w:t>
      </w:r>
      <w:r>
        <w:rPr>
          <w:rFonts w:ascii="Arial" w:eastAsia="SimSun" w:hAnsi="Arial" w:cs="Arial"/>
          <w:bCs/>
          <w:sz w:val="20"/>
          <w:lang w:eastAsia="zh-CN"/>
        </w:rPr>
        <w:t>,</w:t>
      </w:r>
      <w:r w:rsidRPr="008C3D12">
        <w:rPr>
          <w:rFonts w:ascii="Arial" w:eastAsia="SimSun" w:hAnsi="Arial" w:cs="Arial"/>
          <w:bCs/>
          <w:sz w:val="20"/>
          <w:lang w:eastAsia="zh-CN"/>
        </w:rPr>
        <w:t xml:space="preserve"> the working group published a paper containing guiding principles for </w:t>
      </w:r>
      <w:proofErr w:type="spellStart"/>
      <w:r w:rsidRPr="008C3D12">
        <w:rPr>
          <w:rFonts w:ascii="Arial" w:eastAsia="SimSun" w:hAnsi="Arial" w:cs="Arial"/>
          <w:bCs/>
          <w:sz w:val="20"/>
          <w:lang w:eastAsia="zh-CN"/>
        </w:rPr>
        <w:t>fallback</w:t>
      </w:r>
      <w:proofErr w:type="spellEnd"/>
      <w:r w:rsidRPr="008C3D12">
        <w:rPr>
          <w:rFonts w:ascii="Arial" w:eastAsia="SimSun" w:hAnsi="Arial" w:cs="Arial"/>
          <w:bCs/>
          <w:sz w:val="20"/>
          <w:lang w:eastAsia="zh-CN"/>
        </w:rPr>
        <w:t xml:space="preserve"> provisions in new contracts for euro-denominated cash products</w:t>
      </w:r>
      <w:r>
        <w:rPr>
          <w:rFonts w:ascii="Arial" w:eastAsia="SimSun" w:hAnsi="Arial" w:cs="Arial"/>
          <w:bCs/>
          <w:sz w:val="20"/>
          <w:lang w:eastAsia="zh-CN"/>
        </w:rPr>
        <w:t xml:space="preserve"> and set out</w:t>
      </w:r>
      <w:r w:rsidRPr="008C3D12">
        <w:rPr>
          <w:rFonts w:ascii="Arial" w:eastAsia="SimSun" w:hAnsi="Arial" w:cs="Arial"/>
          <w:bCs/>
          <w:sz w:val="20"/>
          <w:lang w:eastAsia="zh-CN"/>
        </w:rPr>
        <w:t xml:space="preserve"> an overview of the legal frameworks and market practices applicable to cash products</w:t>
      </w:r>
      <w:r>
        <w:rPr>
          <w:rFonts w:ascii="Arial" w:eastAsia="SimSun" w:hAnsi="Arial" w:cs="Arial"/>
          <w:bCs/>
          <w:sz w:val="20"/>
          <w:lang w:eastAsia="zh-CN"/>
        </w:rPr>
        <w:t xml:space="preserve"> that refe</w:t>
      </w:r>
      <w:r w:rsidRPr="008C3D12">
        <w:rPr>
          <w:rFonts w:ascii="Arial" w:eastAsia="SimSun" w:hAnsi="Arial" w:cs="Arial"/>
          <w:bCs/>
          <w:sz w:val="20"/>
          <w:lang w:eastAsia="zh-CN"/>
        </w:rPr>
        <w:t xml:space="preserve">rence EURIBOR and EONIA, with a specific focus on </w:t>
      </w:r>
      <w:proofErr w:type="spellStart"/>
      <w:r w:rsidRPr="008C3D12">
        <w:rPr>
          <w:rFonts w:ascii="Arial" w:eastAsia="SimSun" w:hAnsi="Arial" w:cs="Arial"/>
          <w:bCs/>
          <w:sz w:val="20"/>
          <w:lang w:eastAsia="zh-CN"/>
        </w:rPr>
        <w:t>fallback</w:t>
      </w:r>
      <w:proofErr w:type="spellEnd"/>
      <w:r w:rsidRPr="008C3D12">
        <w:rPr>
          <w:rFonts w:ascii="Arial" w:eastAsia="SimSun" w:hAnsi="Arial" w:cs="Arial"/>
          <w:bCs/>
          <w:sz w:val="20"/>
          <w:lang w:eastAsia="zh-CN"/>
        </w:rPr>
        <w:t xml:space="preserve"> clauses</w:t>
      </w:r>
      <w:r>
        <w:rPr>
          <w:rFonts w:ascii="Arial" w:eastAsia="SimSun" w:hAnsi="Arial" w:cs="Arial"/>
          <w:bCs/>
          <w:sz w:val="20"/>
          <w:lang w:eastAsia="zh-CN"/>
        </w:rPr>
        <w:t xml:space="preserve">. </w:t>
      </w:r>
      <w:r w:rsidRPr="008C3D12">
        <w:rPr>
          <w:rFonts w:ascii="Arial" w:eastAsia="SimSun" w:hAnsi="Arial" w:cs="Arial"/>
          <w:bCs/>
          <w:sz w:val="20"/>
          <w:lang w:eastAsia="zh-CN"/>
        </w:rPr>
        <w:t>This new paper serves to remind market participants of key messages from the paper published in January and, where relevant, it provides updates that reflect market developments and practices related to cash products and derivatives transactions referencing EURIBOR.</w:t>
      </w:r>
      <w:r>
        <w:rPr>
          <w:rFonts w:ascii="Arial" w:eastAsia="SimSun" w:hAnsi="Arial" w:cs="Arial"/>
          <w:bCs/>
          <w:sz w:val="20"/>
          <w:lang w:eastAsia="zh-CN"/>
        </w:rPr>
        <w:t xml:space="preserve"> </w:t>
      </w:r>
      <w:hyperlink r:id="rId26" w:history="1">
        <w:r w:rsidRPr="008C3D12">
          <w:rPr>
            <w:rStyle w:val="Hyperlink"/>
            <w:rFonts w:ascii="Arial" w:eastAsia="SimSun" w:hAnsi="Arial" w:cs="Arial"/>
            <w:bCs/>
            <w:sz w:val="20"/>
            <w:lang w:eastAsia="zh-CN"/>
          </w:rPr>
          <w:t>Read more</w:t>
        </w:r>
      </w:hyperlink>
    </w:p>
    <w:p w:rsidR="000A219C" w:rsidRPr="008C3D12" w:rsidRDefault="000A219C" w:rsidP="00525CC7">
      <w:pPr>
        <w:rPr>
          <w:rFonts w:ascii="Arial" w:eastAsia="SimSun" w:hAnsi="Arial" w:cs="Arial"/>
          <w:bCs/>
          <w:sz w:val="20"/>
          <w:lang w:eastAsia="zh-CN"/>
        </w:rPr>
      </w:pPr>
    </w:p>
    <w:p w:rsidR="000A219C" w:rsidRPr="000A219C" w:rsidRDefault="000A219C" w:rsidP="000A219C">
      <w:pPr>
        <w:rPr>
          <w:rFonts w:ascii="Arial" w:eastAsia="SimSun" w:hAnsi="Arial" w:cs="Arial"/>
          <w:b/>
          <w:bCs/>
          <w:sz w:val="20"/>
          <w:lang w:eastAsia="zh-CN"/>
        </w:rPr>
      </w:pPr>
      <w:r w:rsidRPr="000A219C">
        <w:rPr>
          <w:rFonts w:ascii="Arial" w:eastAsia="SimSun" w:hAnsi="Arial" w:cs="Arial"/>
          <w:b/>
          <w:bCs/>
          <w:sz w:val="20"/>
          <w:lang w:eastAsia="zh-CN"/>
        </w:rPr>
        <w:t>ESMA conducts an analysis on position limits, position management controls and position reports under MiFID II</w:t>
      </w:r>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 xml:space="preserve">On 5 November, ESMA published a </w:t>
      </w:r>
      <w:r w:rsidRPr="000A219C">
        <w:rPr>
          <w:rFonts w:ascii="Arial" w:eastAsia="SimSun" w:hAnsi="Arial" w:cs="Arial"/>
          <w:bCs/>
          <w:iCs/>
          <w:sz w:val="20"/>
          <w:lang w:eastAsia="zh-CN"/>
        </w:rPr>
        <w:t>consultation</w:t>
      </w:r>
      <w:r w:rsidRPr="000A219C">
        <w:rPr>
          <w:rFonts w:ascii="Arial" w:eastAsia="SimSun" w:hAnsi="Arial" w:cs="Arial"/>
          <w:bCs/>
          <w:i/>
          <w:iCs/>
          <w:sz w:val="20"/>
          <w:lang w:eastAsia="zh-CN"/>
        </w:rPr>
        <w:t xml:space="preserve"> </w:t>
      </w:r>
      <w:r w:rsidRPr="000A219C">
        <w:rPr>
          <w:rFonts w:ascii="Arial" w:eastAsia="SimSun" w:hAnsi="Arial" w:cs="Arial"/>
          <w:bCs/>
          <w:iCs/>
          <w:sz w:val="20"/>
          <w:lang w:eastAsia="zh-CN"/>
        </w:rPr>
        <w:t>paper</w:t>
      </w:r>
      <w:r w:rsidRPr="000A219C">
        <w:rPr>
          <w:rFonts w:ascii="Arial" w:eastAsia="SimSun" w:hAnsi="Arial" w:cs="Arial"/>
          <w:bCs/>
          <w:sz w:val="20"/>
          <w:lang w:eastAsia="zh-CN"/>
        </w:rPr>
        <w:t xml:space="preserve"> (ESMA70-156-1484) on commodity derivatives position limits, position management controls and position reports under the MiFID II Directive (</w:t>
      </w:r>
      <w:r w:rsidRPr="000A219C">
        <w:rPr>
          <w:rFonts w:ascii="Arial" w:eastAsia="SimSun" w:hAnsi="Arial" w:cs="Arial"/>
          <w:bCs/>
          <w:i/>
          <w:iCs/>
          <w:sz w:val="20"/>
          <w:lang w:eastAsia="zh-CN"/>
        </w:rPr>
        <w:t>2014/65/EU</w:t>
      </w:r>
      <w:r w:rsidRPr="000A219C">
        <w:rPr>
          <w:rFonts w:ascii="Arial" w:eastAsia="SimSun" w:hAnsi="Arial" w:cs="Arial"/>
          <w:bCs/>
          <w:sz w:val="20"/>
          <w:lang w:eastAsia="zh-CN"/>
        </w:rPr>
        <w:t>).</w:t>
      </w:r>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 xml:space="preserve">The paper analyses the impact of position limits and position management on commodity derivatives markets, specifically looking at the effects on market abuse, orderly pricing and settlement and less liquid commodity derivative contracts. ESMA are also exploring viewpoints for the following amendments to the current legal framework; (i) only allowing commodity derivatives subject to position limits in key contracts; (ii) introducing a limited position limit exemption for financial counterparties; (iii) moving towards a singular approach in implementation of position management regimes by trading venues. Part II of the consultation paper proposes to revise the technical advice provided to the Commission on the delegated acts to be adopted under Article 58(6) of the MiFID II Directive on position reporting by categories of position holders. ESMA aims to increase transparency within commodity derivative contracts traded in the EU27. Proposals for doing so are set out in section 7 of the consultation paper. Comments can be made on the proposals until 8 January 2020. </w:t>
      </w:r>
    </w:p>
    <w:p w:rsidR="000A219C" w:rsidRPr="000A219C" w:rsidRDefault="00213A05" w:rsidP="000A219C">
      <w:pPr>
        <w:rPr>
          <w:rFonts w:ascii="Arial" w:eastAsia="SimSun" w:hAnsi="Arial" w:cs="Arial"/>
          <w:bCs/>
          <w:sz w:val="20"/>
          <w:u w:val="single"/>
          <w:lang w:eastAsia="zh-CN"/>
        </w:rPr>
      </w:pPr>
      <w:hyperlink r:id="rId27" w:history="1">
        <w:r w:rsidR="000A219C" w:rsidRPr="000A219C">
          <w:rPr>
            <w:rStyle w:val="Hyperlink"/>
            <w:rFonts w:ascii="Arial" w:eastAsia="SimSun" w:hAnsi="Arial" w:cs="Arial"/>
            <w:bCs/>
            <w:sz w:val="20"/>
            <w:lang w:eastAsia="zh-CN"/>
          </w:rPr>
          <w:t>Read more</w:t>
        </w:r>
      </w:hyperlink>
    </w:p>
    <w:p w:rsidR="00525CC7" w:rsidRDefault="00525CC7" w:rsidP="002D5062">
      <w:pPr>
        <w:rPr>
          <w:rFonts w:ascii="Arial" w:eastAsia="SimSun" w:hAnsi="Arial" w:cs="Arial"/>
          <w:bCs/>
          <w:sz w:val="20"/>
          <w:lang w:eastAsia="zh-CN"/>
        </w:rPr>
      </w:pPr>
    </w:p>
    <w:p w:rsidR="00C933BD" w:rsidRDefault="00C933BD" w:rsidP="002D5062">
      <w:pPr>
        <w:rPr>
          <w:rFonts w:ascii="Arial" w:eastAsia="SimSun" w:hAnsi="Arial" w:cs="Arial"/>
          <w:b/>
          <w:bCs/>
          <w:color w:val="800000"/>
          <w:sz w:val="20"/>
          <w:lang w:eastAsia="zh-CN"/>
        </w:rPr>
      </w:pPr>
      <w:r>
        <w:rPr>
          <w:rFonts w:ascii="Arial" w:eastAsia="SimSun" w:hAnsi="Arial" w:cs="Arial"/>
          <w:b/>
          <w:bCs/>
          <w:color w:val="800000"/>
          <w:sz w:val="20"/>
          <w:lang w:eastAsia="zh-CN"/>
        </w:rPr>
        <w:t>PAYMENT SERVICES AND PAYMENT SYSTEMS</w:t>
      </w:r>
    </w:p>
    <w:p w:rsidR="00C933BD" w:rsidRDefault="00C933BD" w:rsidP="002D5062">
      <w:pPr>
        <w:rPr>
          <w:rFonts w:ascii="Arial" w:eastAsia="SimSun" w:hAnsi="Arial" w:cs="Arial"/>
          <w:b/>
          <w:bCs/>
          <w:color w:val="800000"/>
          <w:sz w:val="20"/>
          <w:lang w:eastAsia="zh-CN"/>
        </w:rPr>
      </w:pPr>
    </w:p>
    <w:p w:rsidR="00525CC7" w:rsidRDefault="00C933BD" w:rsidP="00C933BD">
      <w:pPr>
        <w:rPr>
          <w:rFonts w:ascii="Arial" w:eastAsia="SimSun" w:hAnsi="Arial" w:cs="Arial"/>
          <w:b/>
          <w:bCs/>
          <w:sz w:val="20"/>
          <w:lang w:eastAsia="zh-CN"/>
        </w:rPr>
      </w:pPr>
      <w:r w:rsidRPr="00681A16">
        <w:rPr>
          <w:rFonts w:ascii="Arial" w:eastAsia="SimSun" w:hAnsi="Arial" w:cs="Arial"/>
          <w:b/>
          <w:bCs/>
          <w:sz w:val="20"/>
          <w:lang w:eastAsia="zh-CN"/>
        </w:rPr>
        <w:t xml:space="preserve">ECB amending Decision and Guideline relating to TARGET2 published </w:t>
      </w:r>
    </w:p>
    <w:p w:rsidR="00C933BD" w:rsidRPr="00BD7DA1" w:rsidRDefault="00681A16" w:rsidP="00C933BD">
      <w:pPr>
        <w:rPr>
          <w:rFonts w:ascii="Arial" w:eastAsia="SimSun" w:hAnsi="Arial" w:cs="Arial"/>
          <w:bCs/>
          <w:sz w:val="20"/>
          <w:lang w:eastAsia="zh-CN"/>
        </w:rPr>
      </w:pPr>
      <w:r>
        <w:rPr>
          <w:rFonts w:ascii="Arial" w:eastAsia="SimSun" w:hAnsi="Arial" w:cs="Arial"/>
          <w:bCs/>
          <w:iCs/>
          <w:sz w:val="20"/>
          <w:lang w:eastAsia="zh-CN"/>
        </w:rPr>
        <w:t xml:space="preserve">On 5 November, </w:t>
      </w:r>
      <w:r w:rsidR="004C449A" w:rsidRPr="004C449A">
        <w:rPr>
          <w:rFonts w:ascii="Arial" w:eastAsia="SimSun" w:hAnsi="Arial" w:cs="Arial"/>
          <w:bCs/>
          <w:iCs/>
          <w:sz w:val="20"/>
          <w:lang w:eastAsia="zh-CN"/>
        </w:rPr>
        <w:t xml:space="preserve">Guideline (EU) 2019/1849 </w:t>
      </w:r>
      <w:r w:rsidR="004C449A">
        <w:rPr>
          <w:rFonts w:ascii="Arial" w:eastAsia="SimSun" w:hAnsi="Arial" w:cs="Arial"/>
          <w:bCs/>
          <w:iCs/>
          <w:sz w:val="20"/>
          <w:lang w:eastAsia="zh-CN"/>
        </w:rPr>
        <w:t xml:space="preserve">(which </w:t>
      </w:r>
      <w:r w:rsidR="004C449A" w:rsidRPr="004C449A">
        <w:rPr>
          <w:rFonts w:ascii="Arial" w:eastAsia="SimSun" w:hAnsi="Arial" w:cs="Arial"/>
          <w:bCs/>
          <w:iCs/>
          <w:sz w:val="20"/>
          <w:lang w:eastAsia="zh-CN"/>
        </w:rPr>
        <w:t>amends Guideline ECB/2012/27</w:t>
      </w:r>
      <w:r w:rsidR="004C449A">
        <w:rPr>
          <w:rFonts w:ascii="Arial" w:eastAsia="SimSun" w:hAnsi="Arial" w:cs="Arial"/>
          <w:bCs/>
          <w:iCs/>
          <w:sz w:val="20"/>
          <w:lang w:eastAsia="zh-CN"/>
        </w:rPr>
        <w:t xml:space="preserve">) and </w:t>
      </w:r>
      <w:r w:rsidR="004C449A" w:rsidRPr="004C449A">
        <w:rPr>
          <w:rFonts w:ascii="Arial" w:eastAsia="SimSun" w:hAnsi="Arial" w:cs="Arial"/>
          <w:bCs/>
          <w:iCs/>
          <w:sz w:val="20"/>
          <w:lang w:eastAsia="zh-CN"/>
        </w:rPr>
        <w:t xml:space="preserve">Decision (EU) 2019/1848 of the ECB </w:t>
      </w:r>
      <w:r w:rsidR="004C449A">
        <w:rPr>
          <w:rFonts w:ascii="Arial" w:eastAsia="SimSun" w:hAnsi="Arial" w:cs="Arial"/>
          <w:bCs/>
          <w:iCs/>
          <w:sz w:val="20"/>
          <w:lang w:eastAsia="zh-CN"/>
        </w:rPr>
        <w:t xml:space="preserve">(which amends </w:t>
      </w:r>
      <w:r w:rsidR="004C449A" w:rsidRPr="004C449A">
        <w:rPr>
          <w:rFonts w:ascii="Arial" w:eastAsia="SimSun" w:hAnsi="Arial" w:cs="Arial"/>
          <w:bCs/>
          <w:iCs/>
          <w:sz w:val="20"/>
          <w:lang w:eastAsia="zh-CN"/>
        </w:rPr>
        <w:t>Decision ECB/2007/7</w:t>
      </w:r>
      <w:r w:rsidR="004C449A">
        <w:rPr>
          <w:rFonts w:ascii="Arial" w:eastAsia="SimSun" w:hAnsi="Arial" w:cs="Arial"/>
          <w:bCs/>
          <w:iCs/>
          <w:sz w:val="20"/>
          <w:lang w:eastAsia="zh-CN"/>
        </w:rPr>
        <w:t xml:space="preserve">) relating to </w:t>
      </w:r>
      <w:r w:rsidR="00015FF8">
        <w:rPr>
          <w:rFonts w:ascii="Arial" w:eastAsia="SimSun" w:hAnsi="Arial" w:cs="Arial"/>
          <w:bCs/>
          <w:iCs/>
          <w:sz w:val="20"/>
          <w:lang w:eastAsia="zh-CN"/>
        </w:rPr>
        <w:t xml:space="preserve">TARGET2 </w:t>
      </w:r>
      <w:r w:rsidR="004C449A">
        <w:rPr>
          <w:rFonts w:ascii="Arial" w:eastAsia="SimSun" w:hAnsi="Arial" w:cs="Arial"/>
          <w:bCs/>
          <w:iCs/>
          <w:sz w:val="20"/>
          <w:lang w:eastAsia="zh-CN"/>
        </w:rPr>
        <w:t xml:space="preserve">were published in </w:t>
      </w:r>
      <w:r>
        <w:rPr>
          <w:rFonts w:ascii="Arial" w:eastAsia="SimSun" w:hAnsi="Arial" w:cs="Arial"/>
          <w:bCs/>
          <w:iCs/>
          <w:sz w:val="20"/>
          <w:lang w:eastAsia="zh-CN"/>
        </w:rPr>
        <w:t>the Official Journal of the EU</w:t>
      </w:r>
      <w:r w:rsidR="00015FF8">
        <w:rPr>
          <w:rFonts w:ascii="Arial" w:eastAsia="SimSun" w:hAnsi="Arial" w:cs="Arial"/>
          <w:bCs/>
          <w:iCs/>
          <w:sz w:val="20"/>
          <w:lang w:eastAsia="zh-CN"/>
        </w:rPr>
        <w:t>. The Guideline</w:t>
      </w:r>
      <w:r w:rsidR="00015FF8">
        <w:rPr>
          <w:rFonts w:ascii="Arial" w:eastAsia="SimSun" w:hAnsi="Arial" w:cs="Arial"/>
          <w:bCs/>
          <w:sz w:val="20"/>
          <w:lang w:eastAsia="zh-CN"/>
        </w:rPr>
        <w:t xml:space="preserve"> clarifies</w:t>
      </w:r>
      <w:r w:rsidR="00C933BD" w:rsidRPr="00E35250">
        <w:rPr>
          <w:rFonts w:ascii="Arial" w:eastAsia="SimSun" w:hAnsi="Arial" w:cs="Arial"/>
          <w:bCs/>
          <w:sz w:val="20"/>
          <w:lang w:eastAsia="zh-CN"/>
        </w:rPr>
        <w:t xml:space="preserve"> </w:t>
      </w:r>
      <w:r w:rsidR="00015FF8" w:rsidRPr="00015FF8">
        <w:rPr>
          <w:rFonts w:ascii="Arial" w:eastAsia="SimSun" w:hAnsi="Arial" w:cs="Arial"/>
          <w:bCs/>
          <w:sz w:val="20"/>
          <w:lang w:eastAsia="zh-CN"/>
        </w:rPr>
        <w:t>the conditions under which investment firms may participate in TARGET2, including the requirement for a legal opinion regarding investment firms established outside the EEA and applying for direct participation in a TARGET2 component system</w:t>
      </w:r>
      <w:r w:rsidR="006C4FCE">
        <w:rPr>
          <w:rFonts w:ascii="Arial" w:eastAsia="SimSun" w:hAnsi="Arial" w:cs="Arial"/>
          <w:bCs/>
          <w:sz w:val="20"/>
          <w:lang w:eastAsia="zh-CN"/>
        </w:rPr>
        <w:t xml:space="preserve">. </w:t>
      </w:r>
      <w:r w:rsidR="00C933BD" w:rsidRPr="00E35250">
        <w:rPr>
          <w:rFonts w:ascii="Arial" w:eastAsia="SimSun" w:hAnsi="Arial" w:cs="Arial"/>
          <w:bCs/>
          <w:sz w:val="20"/>
          <w:lang w:eastAsia="zh-CN"/>
        </w:rPr>
        <w:t>The new Guideline takes effect on the day of its notification to the national central banks of member states whose currency is the euro. The deadline for complying with the guideline is 17 November.</w:t>
      </w:r>
      <w:r>
        <w:rPr>
          <w:rFonts w:ascii="Arial" w:eastAsia="SimSun" w:hAnsi="Arial" w:cs="Arial"/>
          <w:bCs/>
          <w:sz w:val="20"/>
          <w:lang w:eastAsia="zh-CN"/>
        </w:rPr>
        <w:t xml:space="preserve"> </w:t>
      </w:r>
      <w:r w:rsidR="00C933BD" w:rsidRPr="00BD7DA1">
        <w:rPr>
          <w:rFonts w:ascii="Arial" w:eastAsia="SimSun" w:hAnsi="Arial" w:cs="Arial"/>
          <w:bCs/>
          <w:sz w:val="20"/>
          <w:lang w:eastAsia="zh-CN"/>
        </w:rPr>
        <w:t>The changes made by the Decision reflect the</w:t>
      </w:r>
      <w:r w:rsidR="00C933BD">
        <w:rPr>
          <w:rFonts w:ascii="Arial" w:eastAsia="SimSun" w:hAnsi="Arial" w:cs="Arial"/>
          <w:bCs/>
          <w:sz w:val="20"/>
          <w:lang w:eastAsia="zh-CN"/>
        </w:rPr>
        <w:t xml:space="preserve"> amendments outlined above with regards to </w:t>
      </w:r>
      <w:r w:rsidR="00015FF8">
        <w:rPr>
          <w:rFonts w:ascii="Arial" w:eastAsia="SimSun" w:hAnsi="Arial" w:cs="Arial"/>
          <w:bCs/>
          <w:sz w:val="20"/>
          <w:lang w:eastAsia="zh-CN"/>
        </w:rPr>
        <w:t xml:space="preserve">the </w:t>
      </w:r>
      <w:r w:rsidR="00C933BD">
        <w:rPr>
          <w:rFonts w:ascii="Arial" w:eastAsia="SimSun" w:hAnsi="Arial" w:cs="Arial"/>
          <w:bCs/>
          <w:sz w:val="20"/>
          <w:lang w:eastAsia="zh-CN"/>
        </w:rPr>
        <w:t>Guideline</w:t>
      </w:r>
      <w:r w:rsidR="00C933BD" w:rsidRPr="00BD7DA1">
        <w:rPr>
          <w:rFonts w:ascii="Arial" w:eastAsia="SimSun" w:hAnsi="Arial" w:cs="Arial"/>
          <w:bCs/>
          <w:sz w:val="20"/>
          <w:lang w:eastAsia="zh-CN"/>
        </w:rPr>
        <w:t>. The new Decision enters into force on 6 November (the day following its publication in the OJ) and applies from 17 November.</w:t>
      </w:r>
    </w:p>
    <w:p w:rsidR="00C933BD" w:rsidRPr="00E35250" w:rsidRDefault="00213A05" w:rsidP="00C933BD">
      <w:pPr>
        <w:rPr>
          <w:rFonts w:ascii="Arial" w:eastAsia="SimSun" w:hAnsi="Arial" w:cs="Arial"/>
          <w:bCs/>
          <w:sz w:val="20"/>
          <w:lang w:eastAsia="zh-CN"/>
        </w:rPr>
      </w:pPr>
      <w:hyperlink r:id="rId28" w:history="1">
        <w:r w:rsidR="00C933BD" w:rsidRPr="00E35250">
          <w:rPr>
            <w:rStyle w:val="Hyperlink"/>
            <w:rFonts w:ascii="Arial" w:eastAsia="SimSun" w:hAnsi="Arial" w:cs="Arial"/>
            <w:bCs/>
            <w:iCs/>
            <w:sz w:val="20"/>
            <w:lang w:eastAsia="zh-CN"/>
          </w:rPr>
          <w:t>Guideline (EU) 2019/1849</w:t>
        </w:r>
      </w:hyperlink>
    </w:p>
    <w:p w:rsidR="00C933BD" w:rsidRPr="00E35250" w:rsidRDefault="00213A05" w:rsidP="00C933BD">
      <w:pPr>
        <w:rPr>
          <w:rFonts w:ascii="Arial" w:eastAsia="SimSun" w:hAnsi="Arial" w:cs="Arial"/>
          <w:bCs/>
          <w:sz w:val="20"/>
          <w:lang w:eastAsia="zh-CN"/>
        </w:rPr>
      </w:pPr>
      <w:hyperlink r:id="rId29" w:history="1">
        <w:r w:rsidR="00C933BD" w:rsidRPr="00E35250">
          <w:rPr>
            <w:rStyle w:val="Hyperlink"/>
            <w:rFonts w:ascii="Arial" w:eastAsia="SimSun" w:hAnsi="Arial" w:cs="Arial"/>
            <w:bCs/>
            <w:iCs/>
            <w:sz w:val="20"/>
            <w:lang w:eastAsia="zh-CN"/>
          </w:rPr>
          <w:t>Decision (EU) 2019/1848</w:t>
        </w:r>
      </w:hyperlink>
    </w:p>
    <w:p w:rsidR="00C933BD" w:rsidRDefault="00C933BD" w:rsidP="002D5062">
      <w:pPr>
        <w:rPr>
          <w:rFonts w:ascii="Arial" w:eastAsia="SimSun" w:hAnsi="Arial" w:cs="Arial"/>
          <w:b/>
          <w:bCs/>
          <w:color w:val="800000"/>
          <w:sz w:val="20"/>
          <w:lang w:eastAsia="zh-CN"/>
        </w:rPr>
      </w:pPr>
    </w:p>
    <w:p w:rsidR="001B2E03" w:rsidRDefault="001B2E03" w:rsidP="002D5062">
      <w:pPr>
        <w:rPr>
          <w:rFonts w:ascii="Arial" w:eastAsia="SimSun" w:hAnsi="Arial" w:cs="Arial"/>
          <w:b/>
          <w:bCs/>
          <w:color w:val="800000"/>
          <w:sz w:val="20"/>
          <w:lang w:eastAsia="zh-CN"/>
        </w:rPr>
      </w:pPr>
      <w:r>
        <w:rPr>
          <w:rFonts w:ascii="Arial" w:eastAsia="SimSun" w:hAnsi="Arial" w:cs="Arial"/>
          <w:b/>
          <w:bCs/>
          <w:color w:val="800000"/>
          <w:sz w:val="20"/>
          <w:lang w:eastAsia="zh-CN"/>
        </w:rPr>
        <w:t>PENSIONS</w:t>
      </w:r>
    </w:p>
    <w:p w:rsidR="001B2E03" w:rsidRDefault="001B2E03" w:rsidP="002D5062">
      <w:pPr>
        <w:rPr>
          <w:rFonts w:ascii="Arial" w:eastAsia="SimSun" w:hAnsi="Arial" w:cs="Arial"/>
          <w:b/>
          <w:bCs/>
          <w:color w:val="800000"/>
          <w:sz w:val="20"/>
          <w:lang w:eastAsia="zh-CN"/>
        </w:rPr>
      </w:pPr>
    </w:p>
    <w:p w:rsidR="00525CC7" w:rsidRPr="00B43EB9" w:rsidRDefault="00525CC7" w:rsidP="00525CC7">
      <w:pPr>
        <w:rPr>
          <w:rFonts w:ascii="Arial" w:eastAsia="SimSun" w:hAnsi="Arial" w:cs="Arial"/>
          <w:b/>
          <w:bCs/>
          <w:sz w:val="20"/>
          <w:lang w:eastAsia="zh-CN"/>
        </w:rPr>
      </w:pPr>
      <w:r w:rsidRPr="00B43EB9">
        <w:rPr>
          <w:rFonts w:ascii="Arial" w:eastAsia="SimSun" w:hAnsi="Arial" w:cs="Arial"/>
          <w:b/>
          <w:bCs/>
          <w:sz w:val="20"/>
          <w:lang w:eastAsia="zh-CN"/>
        </w:rPr>
        <w:t>Government responds to report on pension costs and charges</w:t>
      </w:r>
    </w:p>
    <w:p w:rsidR="00E629CD" w:rsidRDefault="001B2E03" w:rsidP="001B2E03">
      <w:pPr>
        <w:rPr>
          <w:rFonts w:ascii="Arial" w:eastAsia="SimSun" w:hAnsi="Arial" w:cs="Arial"/>
          <w:bCs/>
          <w:sz w:val="20"/>
          <w:lang w:eastAsia="zh-CN"/>
        </w:rPr>
      </w:pPr>
      <w:r>
        <w:rPr>
          <w:rFonts w:ascii="Arial" w:eastAsia="SimSun" w:hAnsi="Arial" w:cs="Arial"/>
          <w:bCs/>
          <w:sz w:val="20"/>
          <w:lang w:eastAsia="zh-CN"/>
        </w:rPr>
        <w:t>On 2 November</w:t>
      </w:r>
      <w:r w:rsidRPr="0084762B">
        <w:rPr>
          <w:rFonts w:ascii="Arial" w:eastAsia="SimSun" w:hAnsi="Arial" w:cs="Arial"/>
          <w:bCs/>
          <w:sz w:val="20"/>
          <w:lang w:eastAsia="zh-CN"/>
        </w:rPr>
        <w:t xml:space="preserve">, the House of Commons Work and Pensions Committee published </w:t>
      </w:r>
      <w:r w:rsidRPr="005E46BB">
        <w:rPr>
          <w:rFonts w:ascii="Arial" w:eastAsia="SimSun" w:hAnsi="Arial" w:cs="Arial"/>
          <w:bCs/>
          <w:sz w:val="20"/>
          <w:lang w:eastAsia="zh-CN"/>
        </w:rPr>
        <w:t xml:space="preserve">a </w:t>
      </w:r>
      <w:r w:rsidRPr="005E46BB">
        <w:rPr>
          <w:rFonts w:ascii="Arial" w:eastAsia="SimSun" w:hAnsi="Arial" w:cs="Arial"/>
          <w:bCs/>
          <w:iCs/>
          <w:sz w:val="20"/>
          <w:lang w:eastAsia="zh-CN"/>
        </w:rPr>
        <w:t>report</w:t>
      </w:r>
      <w:r w:rsidRPr="0084762B">
        <w:rPr>
          <w:rFonts w:ascii="Arial" w:eastAsia="SimSun" w:hAnsi="Arial" w:cs="Arial"/>
          <w:bCs/>
          <w:sz w:val="20"/>
          <w:lang w:eastAsia="zh-CN"/>
        </w:rPr>
        <w:t xml:space="preserve"> containing (in Appendix 2) the FCA's response to its August report on pension costs and charges.</w:t>
      </w:r>
      <w:r>
        <w:rPr>
          <w:rFonts w:ascii="Arial" w:eastAsia="SimSun" w:hAnsi="Arial" w:cs="Arial"/>
          <w:bCs/>
          <w:sz w:val="20"/>
          <w:lang w:eastAsia="zh-CN"/>
        </w:rPr>
        <w:t xml:space="preserve"> Remarks on </w:t>
      </w:r>
      <w:r w:rsidRPr="0084762B">
        <w:rPr>
          <w:rFonts w:ascii="Arial" w:eastAsia="SimSun" w:hAnsi="Arial" w:cs="Arial"/>
          <w:bCs/>
          <w:sz w:val="20"/>
          <w:lang w:eastAsia="zh-CN"/>
        </w:rPr>
        <w:t xml:space="preserve">the </w:t>
      </w:r>
      <w:r w:rsidRPr="00914655">
        <w:rPr>
          <w:rFonts w:ascii="Arial" w:eastAsia="SimSun" w:hAnsi="Arial" w:cs="Arial"/>
          <w:bCs/>
          <w:sz w:val="20"/>
          <w:lang w:eastAsia="zh-CN"/>
        </w:rPr>
        <w:lastRenderedPageBreak/>
        <w:t xml:space="preserve">committee's key recommendations are as follows; (i) The FCA will consider expanding its list of unauthorised firms into a widely publicised and regularly updated database to act as a co-ordinated early warning system; (ii) the FCA are testing approaches regarding rules about the process by which a consumer indicates they have received or opted out of pension guidance. The </w:t>
      </w:r>
      <w:r w:rsidR="00AF5EB4">
        <w:rPr>
          <w:rFonts w:ascii="Arial" w:eastAsia="SimSun" w:hAnsi="Arial" w:cs="Arial"/>
          <w:bCs/>
          <w:sz w:val="20"/>
          <w:lang w:eastAsia="zh-CN"/>
        </w:rPr>
        <w:t>c</w:t>
      </w:r>
      <w:r w:rsidRPr="00914655">
        <w:rPr>
          <w:rFonts w:ascii="Arial" w:eastAsia="SimSun" w:hAnsi="Arial" w:cs="Arial"/>
          <w:bCs/>
          <w:sz w:val="20"/>
          <w:lang w:eastAsia="zh-CN"/>
        </w:rPr>
        <w:t>ommittee</w:t>
      </w:r>
      <w:r w:rsidR="00AF5EB4">
        <w:rPr>
          <w:rFonts w:ascii="Arial" w:eastAsia="SimSun" w:hAnsi="Arial" w:cs="Arial"/>
          <w:bCs/>
          <w:sz w:val="20"/>
          <w:lang w:eastAsia="zh-CN"/>
        </w:rPr>
        <w:t>’</w:t>
      </w:r>
      <w:r w:rsidRPr="00914655">
        <w:rPr>
          <w:rFonts w:ascii="Arial" w:eastAsia="SimSun" w:hAnsi="Arial" w:cs="Arial"/>
          <w:bCs/>
          <w:sz w:val="20"/>
          <w:lang w:eastAsia="zh-CN"/>
        </w:rPr>
        <w:t>s recommendation of an opt out approach through an active decision communicated to an impartial</w:t>
      </w:r>
      <w:r w:rsidR="00AF5EB4">
        <w:rPr>
          <w:rFonts w:ascii="Arial" w:eastAsia="SimSun" w:hAnsi="Arial" w:cs="Arial"/>
          <w:bCs/>
          <w:sz w:val="20"/>
          <w:lang w:eastAsia="zh-CN"/>
        </w:rPr>
        <w:t xml:space="preserve"> body</w:t>
      </w:r>
      <w:r w:rsidRPr="00914655">
        <w:rPr>
          <w:rFonts w:ascii="Arial" w:eastAsia="SimSun" w:hAnsi="Arial" w:cs="Arial"/>
          <w:bCs/>
          <w:sz w:val="20"/>
          <w:lang w:eastAsia="zh-CN"/>
        </w:rPr>
        <w:t>, will be considered; (iii) a report on the review of independent governance committees (IGCs) body is expected in spring 2020; (iv) there are plans to issue a policy statement setting out rules and guidance in relation to the consultation on the ext</w:t>
      </w:r>
      <w:r w:rsidR="00AF5EB4">
        <w:rPr>
          <w:rFonts w:ascii="Arial" w:eastAsia="SimSun" w:hAnsi="Arial" w:cs="Arial"/>
          <w:bCs/>
          <w:sz w:val="20"/>
          <w:lang w:eastAsia="zh-CN"/>
        </w:rPr>
        <w:t>ension of IGC’s remit and; (v) t</w:t>
      </w:r>
      <w:r w:rsidRPr="00914655">
        <w:rPr>
          <w:rFonts w:ascii="Arial" w:eastAsia="SimSun" w:hAnsi="Arial" w:cs="Arial"/>
          <w:bCs/>
          <w:sz w:val="20"/>
          <w:lang w:eastAsia="zh-CN"/>
        </w:rPr>
        <w:t xml:space="preserve">he FCA have not yet decided what the charge cap on </w:t>
      </w:r>
      <w:proofErr w:type="spellStart"/>
      <w:r w:rsidRPr="00914655">
        <w:rPr>
          <w:rFonts w:ascii="Arial" w:eastAsia="SimSun" w:hAnsi="Arial" w:cs="Arial"/>
          <w:bCs/>
          <w:sz w:val="20"/>
          <w:lang w:eastAsia="zh-CN"/>
        </w:rPr>
        <w:t>decum</w:t>
      </w:r>
      <w:r w:rsidR="00AF5EB4">
        <w:rPr>
          <w:rFonts w:ascii="Arial" w:eastAsia="SimSun" w:hAnsi="Arial" w:cs="Arial"/>
          <w:bCs/>
          <w:sz w:val="20"/>
          <w:lang w:eastAsia="zh-CN"/>
        </w:rPr>
        <w:t>u</w:t>
      </w:r>
      <w:r w:rsidRPr="00914655">
        <w:rPr>
          <w:rFonts w:ascii="Arial" w:eastAsia="SimSun" w:hAnsi="Arial" w:cs="Arial"/>
          <w:bCs/>
          <w:sz w:val="20"/>
          <w:lang w:eastAsia="zh-CN"/>
        </w:rPr>
        <w:t>l</w:t>
      </w:r>
      <w:r w:rsidR="00AF5EB4">
        <w:rPr>
          <w:rFonts w:ascii="Arial" w:eastAsia="SimSun" w:hAnsi="Arial" w:cs="Arial"/>
          <w:bCs/>
          <w:sz w:val="20"/>
          <w:lang w:eastAsia="zh-CN"/>
        </w:rPr>
        <w:t>a</w:t>
      </w:r>
      <w:r w:rsidRPr="00914655">
        <w:rPr>
          <w:rFonts w:ascii="Arial" w:eastAsia="SimSun" w:hAnsi="Arial" w:cs="Arial"/>
          <w:bCs/>
          <w:sz w:val="20"/>
          <w:lang w:eastAsia="zh-CN"/>
        </w:rPr>
        <w:t>tion</w:t>
      </w:r>
      <w:proofErr w:type="spellEnd"/>
      <w:r w:rsidRPr="00914655">
        <w:rPr>
          <w:rFonts w:ascii="Arial" w:eastAsia="SimSun" w:hAnsi="Arial" w:cs="Arial"/>
          <w:bCs/>
          <w:sz w:val="20"/>
          <w:lang w:eastAsia="zh-CN"/>
        </w:rPr>
        <w:t xml:space="preserve"> products available through its </w:t>
      </w:r>
      <w:proofErr w:type="spellStart"/>
      <w:r w:rsidRPr="00914655">
        <w:rPr>
          <w:rFonts w:ascii="Arial" w:eastAsia="SimSun" w:hAnsi="Arial" w:cs="Arial"/>
          <w:bCs/>
          <w:sz w:val="20"/>
          <w:lang w:eastAsia="zh-CN"/>
        </w:rPr>
        <w:t>decumulation</w:t>
      </w:r>
      <w:proofErr w:type="spellEnd"/>
      <w:r w:rsidRPr="00914655">
        <w:rPr>
          <w:rFonts w:ascii="Arial" w:eastAsia="SimSun" w:hAnsi="Arial" w:cs="Arial"/>
          <w:bCs/>
          <w:sz w:val="20"/>
          <w:lang w:eastAsia="zh-CN"/>
        </w:rPr>
        <w:t xml:space="preserve"> pathway </w:t>
      </w:r>
      <w:r w:rsidR="00AF5EB4">
        <w:rPr>
          <w:rFonts w:ascii="Arial" w:eastAsia="SimSun" w:hAnsi="Arial" w:cs="Arial"/>
          <w:bCs/>
          <w:sz w:val="20"/>
          <w:lang w:eastAsia="zh-CN"/>
        </w:rPr>
        <w:t xml:space="preserve">will be </w:t>
      </w:r>
      <w:r w:rsidRPr="00914655">
        <w:rPr>
          <w:rFonts w:ascii="Arial" w:eastAsia="SimSun" w:hAnsi="Arial" w:cs="Arial"/>
          <w:bCs/>
          <w:sz w:val="20"/>
          <w:lang w:eastAsia="zh-CN"/>
        </w:rPr>
        <w:t>as the investment pathways have not yet been created. However, they will monitor any fees above the maximum fee (0.75%) for default arrangements in accumulation.</w:t>
      </w:r>
    </w:p>
    <w:p w:rsidR="00E629CD" w:rsidRPr="00914655" w:rsidRDefault="00213A05" w:rsidP="001B2E03">
      <w:pPr>
        <w:rPr>
          <w:rFonts w:ascii="Arial" w:eastAsia="SimSun" w:hAnsi="Arial" w:cs="Arial"/>
          <w:bCs/>
          <w:sz w:val="20"/>
          <w:lang w:eastAsia="zh-CN"/>
        </w:rPr>
      </w:pPr>
      <w:hyperlink r:id="rId30" w:history="1">
        <w:r w:rsidR="00E629CD" w:rsidRPr="00E629CD">
          <w:rPr>
            <w:rStyle w:val="Hyperlink"/>
            <w:rFonts w:ascii="Arial" w:eastAsia="SimSun" w:hAnsi="Arial" w:cs="Arial"/>
            <w:bCs/>
            <w:sz w:val="20"/>
            <w:lang w:eastAsia="zh-CN"/>
          </w:rPr>
          <w:t>Read more</w:t>
        </w:r>
      </w:hyperlink>
    </w:p>
    <w:p w:rsidR="001B2E03" w:rsidRDefault="001B2E03" w:rsidP="002D5062">
      <w:pPr>
        <w:rPr>
          <w:rFonts w:ascii="Arial" w:eastAsia="SimSun" w:hAnsi="Arial" w:cs="Arial"/>
          <w:b/>
          <w:bCs/>
          <w:color w:val="800000"/>
          <w:sz w:val="20"/>
          <w:lang w:eastAsia="zh-CN"/>
        </w:rPr>
      </w:pPr>
    </w:p>
    <w:p w:rsidR="002D5062" w:rsidRPr="00546174" w:rsidRDefault="002D5062" w:rsidP="002D5062">
      <w:pPr>
        <w:rPr>
          <w:rStyle w:val="Hyperlink"/>
          <w:rFonts w:ascii="Arial" w:eastAsia="SimSun" w:hAnsi="Arial" w:cs="Arial"/>
          <w:b/>
          <w:bCs/>
          <w:color w:val="800000"/>
          <w:sz w:val="20"/>
          <w:u w:val="none"/>
          <w:lang w:eastAsia="zh-CN"/>
        </w:rPr>
      </w:pPr>
      <w:r>
        <w:rPr>
          <w:rFonts w:ascii="Arial" w:eastAsia="SimSun" w:hAnsi="Arial" w:cs="Arial"/>
          <w:b/>
          <w:bCs/>
          <w:color w:val="800000"/>
          <w:sz w:val="20"/>
          <w:lang w:eastAsia="zh-CN"/>
        </w:rPr>
        <w:t>PRUDENTIAL REGULATION</w:t>
      </w:r>
    </w:p>
    <w:p w:rsidR="002D5062" w:rsidRDefault="002D5062" w:rsidP="002D5062">
      <w:pPr>
        <w:rPr>
          <w:rFonts w:ascii="Arial" w:eastAsia="SimSun" w:hAnsi="Arial" w:cs="Arial"/>
          <w:bCs/>
          <w:sz w:val="20"/>
          <w:lang w:eastAsia="zh-CN"/>
        </w:rPr>
      </w:pPr>
    </w:p>
    <w:p w:rsidR="001B2E03" w:rsidRPr="00914655" w:rsidRDefault="001B2E03" w:rsidP="001B2E03">
      <w:pPr>
        <w:rPr>
          <w:rFonts w:ascii="Arial" w:eastAsia="SimSun" w:hAnsi="Arial" w:cs="Arial"/>
          <w:b/>
          <w:bCs/>
          <w:sz w:val="20"/>
          <w:lang w:eastAsia="zh-CN"/>
        </w:rPr>
      </w:pPr>
      <w:r w:rsidRPr="00914655">
        <w:rPr>
          <w:rFonts w:ascii="Arial" w:eastAsia="SimSun" w:hAnsi="Arial" w:cs="Arial"/>
          <w:b/>
          <w:bCs/>
          <w:sz w:val="20"/>
          <w:lang w:eastAsia="zh-CN"/>
        </w:rPr>
        <w:t xml:space="preserve">IFSB </w:t>
      </w:r>
      <w:r w:rsidR="00525CC7">
        <w:rPr>
          <w:rFonts w:ascii="Arial" w:eastAsia="SimSun" w:hAnsi="Arial" w:cs="Arial"/>
          <w:b/>
          <w:bCs/>
          <w:sz w:val="20"/>
          <w:lang w:eastAsia="zh-CN"/>
        </w:rPr>
        <w:t>seeks views on revised version of IFSB-15</w:t>
      </w:r>
    </w:p>
    <w:p w:rsidR="001B2E03" w:rsidRPr="00B76E2E" w:rsidRDefault="001B2E03" w:rsidP="002D5062">
      <w:pPr>
        <w:rPr>
          <w:rFonts w:ascii="Arial" w:eastAsia="SimSun" w:hAnsi="Arial" w:cs="Arial"/>
          <w:bCs/>
          <w:sz w:val="20"/>
          <w:lang w:eastAsia="zh-CN"/>
        </w:rPr>
      </w:pPr>
      <w:r w:rsidRPr="00914655">
        <w:rPr>
          <w:rFonts w:ascii="Arial" w:eastAsia="SimSun" w:hAnsi="Arial" w:cs="Arial"/>
          <w:bCs/>
          <w:sz w:val="20"/>
          <w:lang w:eastAsia="zh-CN"/>
        </w:rPr>
        <w:t xml:space="preserve">On 4 November, the Islamic Financial Services Board (IFSB) published for consultation an </w:t>
      </w:r>
      <w:r w:rsidRPr="00914655">
        <w:rPr>
          <w:rFonts w:ascii="Arial" w:eastAsia="SimSun" w:hAnsi="Arial" w:cs="Arial"/>
          <w:bCs/>
          <w:iCs/>
          <w:sz w:val="20"/>
          <w:lang w:eastAsia="zh-CN"/>
        </w:rPr>
        <w:t>exposure draft</w:t>
      </w:r>
      <w:r w:rsidRPr="00914655">
        <w:rPr>
          <w:rFonts w:ascii="Arial" w:eastAsia="SimSun" w:hAnsi="Arial" w:cs="Arial"/>
          <w:bCs/>
          <w:sz w:val="20"/>
          <w:lang w:eastAsia="zh-CN"/>
        </w:rPr>
        <w:t xml:space="preserve"> of a revised capital adequacy standard for institutions offering Islamic financial services (ED-RCAS).</w:t>
      </w:r>
      <w:r>
        <w:rPr>
          <w:rFonts w:ascii="Arial" w:eastAsia="SimSun" w:hAnsi="Arial" w:cs="Arial"/>
          <w:bCs/>
          <w:sz w:val="20"/>
          <w:lang w:eastAsia="zh-CN"/>
        </w:rPr>
        <w:t xml:space="preserve"> </w:t>
      </w:r>
      <w:r w:rsidRPr="00914655">
        <w:rPr>
          <w:rFonts w:ascii="Arial" w:eastAsia="SimSun" w:hAnsi="Arial" w:cs="Arial"/>
          <w:bCs/>
          <w:sz w:val="20"/>
          <w:lang w:eastAsia="zh-CN"/>
        </w:rPr>
        <w:t>In the exposure draft, the IFSB seeks comments on a revised version of IFSB-15</w:t>
      </w:r>
      <w:r>
        <w:rPr>
          <w:rFonts w:ascii="Arial" w:eastAsia="SimSun" w:hAnsi="Arial" w:cs="Arial"/>
          <w:bCs/>
          <w:sz w:val="20"/>
          <w:lang w:eastAsia="zh-CN"/>
        </w:rPr>
        <w:t xml:space="preserve">, the current guideline for capital adequacy for institutions that offer Islamic financial services. The revised version </w:t>
      </w:r>
      <w:r w:rsidRPr="00914655">
        <w:rPr>
          <w:rFonts w:ascii="Arial" w:eastAsia="SimSun" w:hAnsi="Arial" w:cs="Arial"/>
          <w:bCs/>
          <w:sz w:val="20"/>
          <w:lang w:eastAsia="zh-CN"/>
        </w:rPr>
        <w:t>reflects</w:t>
      </w:r>
      <w:r>
        <w:rPr>
          <w:rFonts w:ascii="Arial" w:eastAsia="SimSun" w:hAnsi="Arial" w:cs="Arial"/>
          <w:bCs/>
          <w:sz w:val="20"/>
          <w:lang w:eastAsia="zh-CN"/>
        </w:rPr>
        <w:t>; (i)</w:t>
      </w:r>
      <w:r w:rsidRPr="00914655">
        <w:rPr>
          <w:rFonts w:ascii="Arial" w:eastAsia="SimSun" w:hAnsi="Arial" w:cs="Arial"/>
          <w:bCs/>
          <w:sz w:val="20"/>
          <w:lang w:eastAsia="zh-CN"/>
        </w:rPr>
        <w:t xml:space="preserve"> the final Basel III reforms agreed by the Basel Committee on Banking Supervision (BCBS) in December 2017</w:t>
      </w:r>
      <w:r>
        <w:rPr>
          <w:rFonts w:ascii="Arial" w:eastAsia="SimSun" w:hAnsi="Arial" w:cs="Arial"/>
          <w:bCs/>
          <w:sz w:val="20"/>
          <w:lang w:eastAsia="zh-CN"/>
        </w:rPr>
        <w:t xml:space="preserve">; (ii) </w:t>
      </w:r>
      <w:r w:rsidRPr="00914655">
        <w:rPr>
          <w:rFonts w:ascii="Arial" w:eastAsia="SimSun" w:hAnsi="Arial" w:cs="Arial"/>
          <w:bCs/>
          <w:sz w:val="20"/>
          <w:lang w:eastAsia="zh-CN"/>
        </w:rPr>
        <w:t>developments in the Islamic financial services industry (IFSI) and</w:t>
      </w:r>
      <w:r>
        <w:rPr>
          <w:rFonts w:ascii="Arial" w:eastAsia="SimSun" w:hAnsi="Arial" w:cs="Arial"/>
          <w:bCs/>
          <w:sz w:val="20"/>
          <w:lang w:eastAsia="zh-CN"/>
        </w:rPr>
        <w:t>; (iii)</w:t>
      </w:r>
      <w:r w:rsidRPr="00914655">
        <w:rPr>
          <w:rFonts w:ascii="Arial" w:eastAsia="SimSun" w:hAnsi="Arial" w:cs="Arial"/>
          <w:bCs/>
          <w:sz w:val="20"/>
          <w:lang w:eastAsia="zh-CN"/>
        </w:rPr>
        <w:t xml:space="preserve"> other changes to the global regulatory framework since December 2013.</w:t>
      </w:r>
      <w:r>
        <w:rPr>
          <w:rFonts w:ascii="Arial" w:eastAsia="SimSun" w:hAnsi="Arial" w:cs="Arial"/>
          <w:bCs/>
          <w:sz w:val="20"/>
          <w:lang w:eastAsia="zh-CN"/>
        </w:rPr>
        <w:t xml:space="preserve"> </w:t>
      </w:r>
      <w:r w:rsidRPr="00914655">
        <w:rPr>
          <w:rFonts w:ascii="Arial" w:eastAsia="SimSun" w:hAnsi="Arial" w:cs="Arial"/>
          <w:bCs/>
          <w:sz w:val="20"/>
          <w:lang w:eastAsia="zh-CN"/>
        </w:rPr>
        <w:t>The deadline for responses is 2 January 2020.</w:t>
      </w:r>
    </w:p>
    <w:p w:rsidR="002D5062" w:rsidRDefault="00213A05" w:rsidP="0081018B">
      <w:pPr>
        <w:rPr>
          <w:rStyle w:val="Hyperlink"/>
          <w:rFonts w:ascii="Arial" w:eastAsia="SimSun" w:hAnsi="Arial" w:cs="Arial"/>
          <w:bCs/>
          <w:sz w:val="20"/>
          <w:lang w:eastAsia="zh-CN"/>
        </w:rPr>
      </w:pPr>
      <w:hyperlink r:id="rId31" w:history="1">
        <w:r w:rsidR="00E629CD" w:rsidRPr="00E629CD">
          <w:rPr>
            <w:rStyle w:val="Hyperlink"/>
            <w:rFonts w:ascii="Arial" w:eastAsia="SimSun" w:hAnsi="Arial" w:cs="Arial"/>
            <w:bCs/>
            <w:sz w:val="20"/>
            <w:lang w:eastAsia="zh-CN"/>
          </w:rPr>
          <w:t>Read</w:t>
        </w:r>
      </w:hyperlink>
      <w:r w:rsidR="00E629CD">
        <w:rPr>
          <w:rStyle w:val="Hyperlink"/>
          <w:rFonts w:ascii="Arial" w:eastAsia="SimSun" w:hAnsi="Arial" w:cs="Arial"/>
          <w:bCs/>
          <w:sz w:val="20"/>
          <w:lang w:eastAsia="zh-CN"/>
        </w:rPr>
        <w:t xml:space="preserve"> more</w:t>
      </w:r>
    </w:p>
    <w:p w:rsidR="00E629CD" w:rsidRDefault="00E629CD" w:rsidP="0081018B">
      <w:pPr>
        <w:rPr>
          <w:rStyle w:val="Hyperlink"/>
          <w:rFonts w:ascii="Arial" w:eastAsia="SimSun" w:hAnsi="Arial" w:cs="Arial"/>
          <w:bCs/>
          <w:sz w:val="20"/>
          <w:lang w:eastAsia="zh-CN"/>
        </w:rPr>
      </w:pPr>
    </w:p>
    <w:p w:rsidR="00546174" w:rsidRPr="00546174" w:rsidRDefault="006C4FCE" w:rsidP="0081018B">
      <w:pPr>
        <w:rPr>
          <w:rStyle w:val="Hyperlink"/>
          <w:rFonts w:ascii="Arial" w:eastAsia="SimSun" w:hAnsi="Arial" w:cs="Arial"/>
          <w:b/>
          <w:bCs/>
          <w:color w:val="800000"/>
          <w:sz w:val="20"/>
          <w:u w:val="none"/>
          <w:lang w:eastAsia="zh-CN"/>
        </w:rPr>
      </w:pPr>
      <w:r>
        <w:rPr>
          <w:rFonts w:ascii="Arial" w:eastAsia="SimSun" w:hAnsi="Arial" w:cs="Arial"/>
          <w:b/>
          <w:bCs/>
          <w:color w:val="800000"/>
          <w:sz w:val="20"/>
          <w:lang w:eastAsia="zh-CN"/>
        </w:rPr>
        <w:t>RECOVERY AND RESOLUTION</w:t>
      </w:r>
    </w:p>
    <w:p w:rsidR="00424BCB" w:rsidRDefault="00424BCB" w:rsidP="0081018B">
      <w:pPr>
        <w:rPr>
          <w:rStyle w:val="Hyperlink"/>
          <w:rFonts w:ascii="Arial" w:eastAsia="SimSun" w:hAnsi="Arial" w:cs="Arial"/>
          <w:bCs/>
          <w:sz w:val="20"/>
          <w:lang w:eastAsia="zh-CN"/>
        </w:rPr>
      </w:pPr>
    </w:p>
    <w:p w:rsidR="0075430A" w:rsidRDefault="00424BCB" w:rsidP="0081018B">
      <w:pPr>
        <w:rPr>
          <w:rFonts w:ascii="Arial" w:eastAsia="SimSun" w:hAnsi="Arial" w:cs="Arial"/>
          <w:b/>
          <w:bCs/>
          <w:sz w:val="20"/>
          <w:lang w:eastAsia="zh-CN"/>
        </w:rPr>
      </w:pPr>
      <w:r w:rsidRPr="00424BCB">
        <w:rPr>
          <w:rFonts w:ascii="Arial" w:eastAsia="SimSun" w:hAnsi="Arial" w:cs="Arial"/>
          <w:b/>
          <w:bCs/>
          <w:sz w:val="20"/>
          <w:lang w:eastAsia="zh-CN"/>
        </w:rPr>
        <w:t>Launch of Banking Business Resolution Service live pilot</w:t>
      </w:r>
    </w:p>
    <w:p w:rsidR="002B35DD" w:rsidRDefault="00424BCB" w:rsidP="0081018B">
      <w:pPr>
        <w:rPr>
          <w:rFonts w:ascii="Arial" w:eastAsia="SimSun" w:hAnsi="Arial" w:cs="Arial"/>
          <w:bCs/>
          <w:sz w:val="20"/>
          <w:lang w:eastAsia="zh-CN"/>
        </w:rPr>
      </w:pPr>
      <w:r w:rsidRPr="00424BCB">
        <w:rPr>
          <w:rFonts w:ascii="Arial" w:eastAsia="SimSun" w:hAnsi="Arial" w:cs="Arial"/>
          <w:bCs/>
          <w:sz w:val="20"/>
          <w:lang w:eastAsia="zh-CN"/>
        </w:rPr>
        <w:t>On 1 November, the Banking Business Resolution Service (B</w:t>
      </w:r>
      <w:r w:rsidR="00AF5EB4">
        <w:rPr>
          <w:rFonts w:ascii="Arial" w:eastAsia="SimSun" w:hAnsi="Arial" w:cs="Arial"/>
          <w:bCs/>
          <w:sz w:val="20"/>
          <w:lang w:eastAsia="zh-CN"/>
        </w:rPr>
        <w:t>B</w:t>
      </w:r>
      <w:r w:rsidRPr="00424BCB">
        <w:rPr>
          <w:rFonts w:ascii="Arial" w:eastAsia="SimSun" w:hAnsi="Arial" w:cs="Arial"/>
          <w:bCs/>
          <w:sz w:val="20"/>
          <w:lang w:eastAsia="zh-CN"/>
        </w:rPr>
        <w:t xml:space="preserve">RS) launched its </w:t>
      </w:r>
      <w:r w:rsidR="0075430A">
        <w:rPr>
          <w:rFonts w:ascii="Arial" w:eastAsia="SimSun" w:hAnsi="Arial" w:cs="Arial"/>
          <w:bCs/>
          <w:sz w:val="20"/>
          <w:lang w:eastAsia="zh-CN"/>
        </w:rPr>
        <w:t>live pilot</w:t>
      </w:r>
      <w:r w:rsidR="003F6651">
        <w:rPr>
          <w:rFonts w:ascii="Arial" w:eastAsia="SimSun" w:hAnsi="Arial" w:cs="Arial"/>
          <w:bCs/>
          <w:sz w:val="20"/>
          <w:lang w:eastAsia="zh-CN"/>
        </w:rPr>
        <w:t xml:space="preserve">, </w:t>
      </w:r>
      <w:r w:rsidRPr="00424BCB">
        <w:rPr>
          <w:rFonts w:ascii="Arial" w:eastAsia="SimSun" w:hAnsi="Arial" w:cs="Arial"/>
          <w:bCs/>
          <w:sz w:val="20"/>
          <w:lang w:eastAsia="zh-CN"/>
        </w:rPr>
        <w:t>in preparation for its full launch in early 2020.</w:t>
      </w:r>
      <w:r>
        <w:rPr>
          <w:rFonts w:ascii="Arial" w:eastAsia="SimSun" w:hAnsi="Arial" w:cs="Arial"/>
          <w:bCs/>
          <w:sz w:val="20"/>
          <w:lang w:eastAsia="zh-CN"/>
        </w:rPr>
        <w:t xml:space="preserve"> </w:t>
      </w:r>
      <w:r w:rsidRPr="00424BCB">
        <w:rPr>
          <w:rFonts w:ascii="Arial" w:eastAsia="SimSun" w:hAnsi="Arial" w:cs="Arial"/>
          <w:bCs/>
          <w:sz w:val="20"/>
          <w:lang w:eastAsia="zh-CN"/>
        </w:rPr>
        <w:t xml:space="preserve">The </w:t>
      </w:r>
      <w:r w:rsidR="003F6651">
        <w:rPr>
          <w:rFonts w:ascii="Arial" w:eastAsia="SimSun" w:hAnsi="Arial" w:cs="Arial"/>
          <w:bCs/>
          <w:sz w:val="20"/>
          <w:lang w:eastAsia="zh-CN"/>
        </w:rPr>
        <w:t>B</w:t>
      </w:r>
      <w:r w:rsidR="00AF5EB4">
        <w:rPr>
          <w:rFonts w:ascii="Arial" w:eastAsia="SimSun" w:hAnsi="Arial" w:cs="Arial"/>
          <w:bCs/>
          <w:sz w:val="20"/>
          <w:lang w:eastAsia="zh-CN"/>
        </w:rPr>
        <w:t>B</w:t>
      </w:r>
      <w:r w:rsidR="003F6651">
        <w:rPr>
          <w:rFonts w:ascii="Arial" w:eastAsia="SimSun" w:hAnsi="Arial" w:cs="Arial"/>
          <w:bCs/>
          <w:sz w:val="20"/>
          <w:lang w:eastAsia="zh-CN"/>
        </w:rPr>
        <w:t>RS</w:t>
      </w:r>
      <w:r w:rsidR="009C45C3">
        <w:rPr>
          <w:rFonts w:ascii="Arial" w:eastAsia="SimSun" w:hAnsi="Arial" w:cs="Arial"/>
          <w:bCs/>
          <w:sz w:val="20"/>
          <w:lang w:eastAsia="zh-CN"/>
        </w:rPr>
        <w:t xml:space="preserve"> is made up of representatives from business gr</w:t>
      </w:r>
      <w:r w:rsidR="00EF2319">
        <w:rPr>
          <w:rFonts w:ascii="Arial" w:eastAsia="SimSun" w:hAnsi="Arial" w:cs="Arial"/>
          <w:bCs/>
          <w:sz w:val="20"/>
          <w:lang w:eastAsia="zh-CN"/>
        </w:rPr>
        <w:t>oups and financial institutions and</w:t>
      </w:r>
      <w:r w:rsidR="003F6651">
        <w:rPr>
          <w:rFonts w:ascii="Arial" w:eastAsia="SimSun" w:hAnsi="Arial" w:cs="Arial"/>
          <w:bCs/>
          <w:sz w:val="20"/>
          <w:lang w:eastAsia="zh-CN"/>
        </w:rPr>
        <w:t xml:space="preserve"> </w:t>
      </w:r>
      <w:r w:rsidRPr="00424BCB">
        <w:rPr>
          <w:rFonts w:ascii="Arial" w:eastAsia="SimSun" w:hAnsi="Arial" w:cs="Arial"/>
          <w:bCs/>
          <w:sz w:val="20"/>
          <w:lang w:eastAsia="zh-CN"/>
        </w:rPr>
        <w:t>aim</w:t>
      </w:r>
      <w:r w:rsidR="003F6651">
        <w:rPr>
          <w:rFonts w:ascii="Arial" w:eastAsia="SimSun" w:hAnsi="Arial" w:cs="Arial"/>
          <w:bCs/>
          <w:sz w:val="20"/>
          <w:lang w:eastAsia="zh-CN"/>
        </w:rPr>
        <w:t>s</w:t>
      </w:r>
      <w:r w:rsidRPr="00424BCB">
        <w:rPr>
          <w:rFonts w:ascii="Arial" w:eastAsia="SimSun" w:hAnsi="Arial" w:cs="Arial"/>
          <w:bCs/>
          <w:sz w:val="20"/>
          <w:lang w:eastAsia="zh-CN"/>
        </w:rPr>
        <w:t xml:space="preserve"> to resolve disputes between eligible small and medium sized enterprises (SMEs) and participating banks</w:t>
      </w:r>
      <w:r w:rsidR="003F6651">
        <w:rPr>
          <w:rFonts w:ascii="Arial" w:eastAsia="SimSun" w:hAnsi="Arial" w:cs="Arial"/>
          <w:bCs/>
          <w:sz w:val="20"/>
          <w:lang w:eastAsia="zh-CN"/>
        </w:rPr>
        <w:t>. The intention of the pilot, for which the B</w:t>
      </w:r>
      <w:r w:rsidR="00AF5EB4">
        <w:rPr>
          <w:rFonts w:ascii="Arial" w:eastAsia="SimSun" w:hAnsi="Arial" w:cs="Arial"/>
          <w:bCs/>
          <w:sz w:val="20"/>
          <w:lang w:eastAsia="zh-CN"/>
        </w:rPr>
        <w:t>B</w:t>
      </w:r>
      <w:r w:rsidR="003F6651">
        <w:rPr>
          <w:rFonts w:ascii="Arial" w:eastAsia="SimSun" w:hAnsi="Arial" w:cs="Arial"/>
          <w:bCs/>
          <w:sz w:val="20"/>
          <w:lang w:eastAsia="zh-CN"/>
        </w:rPr>
        <w:t xml:space="preserve">RS are seeking volunteers, is to </w:t>
      </w:r>
      <w:r w:rsidRPr="00424BCB">
        <w:rPr>
          <w:rFonts w:ascii="Arial" w:eastAsia="SimSun" w:hAnsi="Arial" w:cs="Arial"/>
          <w:bCs/>
          <w:sz w:val="20"/>
          <w:lang w:eastAsia="zh-CN"/>
        </w:rPr>
        <w:t>test how the scheme works in practice</w:t>
      </w:r>
      <w:r w:rsidR="003F6651">
        <w:rPr>
          <w:rFonts w:ascii="Arial" w:eastAsia="SimSun" w:hAnsi="Arial" w:cs="Arial"/>
          <w:bCs/>
          <w:sz w:val="20"/>
          <w:lang w:eastAsia="zh-CN"/>
        </w:rPr>
        <w:t xml:space="preserve"> whilst pinpointing any potential issues.</w:t>
      </w:r>
      <w:r w:rsidRPr="00424BCB">
        <w:rPr>
          <w:rFonts w:ascii="Arial" w:eastAsia="SimSun" w:hAnsi="Arial" w:cs="Arial"/>
          <w:bCs/>
          <w:sz w:val="20"/>
          <w:lang w:eastAsia="zh-CN"/>
        </w:rPr>
        <w:t xml:space="preserve"> SME customer</w:t>
      </w:r>
      <w:r w:rsidR="009C45C3">
        <w:rPr>
          <w:rFonts w:ascii="Arial" w:eastAsia="SimSun" w:hAnsi="Arial" w:cs="Arial"/>
          <w:bCs/>
          <w:sz w:val="20"/>
          <w:lang w:eastAsia="zh-CN"/>
        </w:rPr>
        <w:t>s</w:t>
      </w:r>
      <w:r w:rsidRPr="00424BCB">
        <w:rPr>
          <w:rFonts w:ascii="Arial" w:eastAsia="SimSun" w:hAnsi="Arial" w:cs="Arial"/>
          <w:bCs/>
          <w:sz w:val="20"/>
          <w:lang w:eastAsia="zh-CN"/>
        </w:rPr>
        <w:t xml:space="preserve"> </w:t>
      </w:r>
      <w:r w:rsidR="009C45C3">
        <w:rPr>
          <w:rFonts w:ascii="Arial" w:eastAsia="SimSun" w:hAnsi="Arial" w:cs="Arial"/>
          <w:bCs/>
          <w:sz w:val="20"/>
          <w:lang w:eastAsia="zh-CN"/>
        </w:rPr>
        <w:t xml:space="preserve">are </w:t>
      </w:r>
      <w:r w:rsidRPr="00424BCB">
        <w:rPr>
          <w:rFonts w:ascii="Arial" w:eastAsia="SimSun" w:hAnsi="Arial" w:cs="Arial"/>
          <w:bCs/>
          <w:sz w:val="20"/>
          <w:lang w:eastAsia="zh-CN"/>
        </w:rPr>
        <w:t xml:space="preserve">encouraged to register their interest in </w:t>
      </w:r>
      <w:r w:rsidR="00AF5EB4">
        <w:rPr>
          <w:rFonts w:ascii="Arial" w:eastAsia="SimSun" w:hAnsi="Arial" w:cs="Arial"/>
          <w:bCs/>
          <w:sz w:val="20"/>
          <w:lang w:eastAsia="zh-CN"/>
        </w:rPr>
        <w:t>using the service to resolve a</w:t>
      </w:r>
      <w:r w:rsidRPr="00424BCB">
        <w:rPr>
          <w:rFonts w:ascii="Arial" w:eastAsia="SimSun" w:hAnsi="Arial" w:cs="Arial"/>
          <w:bCs/>
          <w:sz w:val="20"/>
          <w:lang w:eastAsia="zh-CN"/>
        </w:rPr>
        <w:t xml:space="preserve"> complaint.</w:t>
      </w:r>
      <w:r>
        <w:rPr>
          <w:rFonts w:ascii="Arial" w:eastAsia="SimSun" w:hAnsi="Arial" w:cs="Arial"/>
          <w:bCs/>
          <w:sz w:val="20"/>
          <w:lang w:eastAsia="zh-CN"/>
        </w:rPr>
        <w:t xml:space="preserve"> </w:t>
      </w:r>
      <w:r w:rsidR="00EF2319">
        <w:rPr>
          <w:rFonts w:ascii="Arial" w:eastAsia="SimSun" w:hAnsi="Arial" w:cs="Arial"/>
          <w:bCs/>
          <w:sz w:val="20"/>
          <w:lang w:eastAsia="zh-CN"/>
        </w:rPr>
        <w:t>The establishment of the B</w:t>
      </w:r>
      <w:r w:rsidR="00AF5EB4">
        <w:rPr>
          <w:rFonts w:ascii="Arial" w:eastAsia="SimSun" w:hAnsi="Arial" w:cs="Arial"/>
          <w:bCs/>
          <w:sz w:val="20"/>
          <w:lang w:eastAsia="zh-CN"/>
        </w:rPr>
        <w:t>B</w:t>
      </w:r>
      <w:r w:rsidR="00EF2319">
        <w:rPr>
          <w:rFonts w:ascii="Arial" w:eastAsia="SimSun" w:hAnsi="Arial" w:cs="Arial"/>
          <w:bCs/>
          <w:sz w:val="20"/>
          <w:lang w:eastAsia="zh-CN"/>
        </w:rPr>
        <w:t xml:space="preserve">RS follows on from an independent review of the scale and complexity of banking complaints conduct by Simon Walker. </w:t>
      </w:r>
      <w:r w:rsidR="00770F2A">
        <w:rPr>
          <w:rFonts w:ascii="Arial" w:eastAsia="SimSun" w:hAnsi="Arial" w:cs="Arial"/>
          <w:bCs/>
          <w:sz w:val="20"/>
          <w:lang w:eastAsia="zh-CN"/>
        </w:rPr>
        <w:t xml:space="preserve">This review highlighted the need for an independent body to manage historic and current complaints from SMEs </w:t>
      </w:r>
      <w:r w:rsidRPr="00424BCB">
        <w:rPr>
          <w:rFonts w:ascii="Arial" w:eastAsia="SimSun" w:hAnsi="Arial" w:cs="Arial"/>
          <w:bCs/>
          <w:sz w:val="20"/>
          <w:lang w:eastAsia="zh-CN"/>
        </w:rPr>
        <w:t xml:space="preserve">that have not previously had access to independent review. </w:t>
      </w:r>
      <w:r w:rsidR="00770F2A">
        <w:rPr>
          <w:rFonts w:ascii="Arial" w:eastAsia="SimSun" w:hAnsi="Arial" w:cs="Arial"/>
          <w:bCs/>
          <w:sz w:val="20"/>
          <w:lang w:eastAsia="zh-CN"/>
        </w:rPr>
        <w:t>O</w:t>
      </w:r>
      <w:r w:rsidRPr="00424BCB">
        <w:rPr>
          <w:rFonts w:ascii="Arial" w:eastAsia="SimSun" w:hAnsi="Arial" w:cs="Arial"/>
          <w:bCs/>
          <w:sz w:val="20"/>
          <w:lang w:eastAsia="zh-CN"/>
        </w:rPr>
        <w:t>nce the B</w:t>
      </w:r>
      <w:r w:rsidR="00AF5EB4">
        <w:rPr>
          <w:rFonts w:ascii="Arial" w:eastAsia="SimSun" w:hAnsi="Arial" w:cs="Arial"/>
          <w:bCs/>
          <w:sz w:val="20"/>
          <w:lang w:eastAsia="zh-CN"/>
        </w:rPr>
        <w:t>B</w:t>
      </w:r>
      <w:r w:rsidRPr="00424BCB">
        <w:rPr>
          <w:rFonts w:ascii="Arial" w:eastAsia="SimSun" w:hAnsi="Arial" w:cs="Arial"/>
          <w:bCs/>
          <w:sz w:val="20"/>
          <w:lang w:eastAsia="zh-CN"/>
        </w:rPr>
        <w:t xml:space="preserve">RS is fully operational, </w:t>
      </w:r>
      <w:r w:rsidR="00770F2A">
        <w:rPr>
          <w:rFonts w:ascii="Arial" w:eastAsia="SimSun" w:hAnsi="Arial" w:cs="Arial"/>
          <w:bCs/>
          <w:sz w:val="20"/>
          <w:lang w:eastAsia="zh-CN"/>
        </w:rPr>
        <w:t xml:space="preserve">it is expected that </w:t>
      </w:r>
      <w:r w:rsidRPr="00424BCB">
        <w:rPr>
          <w:rFonts w:ascii="Arial" w:eastAsia="SimSun" w:hAnsi="Arial" w:cs="Arial"/>
          <w:bCs/>
          <w:sz w:val="20"/>
          <w:lang w:eastAsia="zh-CN"/>
        </w:rPr>
        <w:t>99% of SMEs will have access to either the BBRS or the Financial Ombudsman Service (FOS).</w:t>
      </w:r>
      <w:r>
        <w:rPr>
          <w:rFonts w:ascii="Arial" w:eastAsia="SimSun" w:hAnsi="Arial" w:cs="Arial"/>
          <w:bCs/>
          <w:sz w:val="20"/>
          <w:lang w:eastAsia="zh-CN"/>
        </w:rPr>
        <w:t xml:space="preserve"> </w:t>
      </w:r>
    </w:p>
    <w:p w:rsidR="002D5062" w:rsidRDefault="00213A05" w:rsidP="002D5062">
      <w:pPr>
        <w:rPr>
          <w:rFonts w:ascii="Arial" w:eastAsia="SimSun" w:hAnsi="Arial" w:cs="Arial"/>
          <w:bCs/>
          <w:sz w:val="20"/>
          <w:lang w:eastAsia="zh-CN"/>
        </w:rPr>
      </w:pPr>
      <w:hyperlink r:id="rId32" w:history="1">
        <w:r w:rsidR="002B35DD" w:rsidRPr="002B35DD">
          <w:rPr>
            <w:rStyle w:val="Hyperlink"/>
            <w:rFonts w:ascii="Arial" w:eastAsia="SimSun" w:hAnsi="Arial" w:cs="Arial"/>
            <w:bCs/>
            <w:sz w:val="20"/>
            <w:lang w:eastAsia="zh-CN"/>
          </w:rPr>
          <w:t>Read more</w:t>
        </w:r>
      </w:hyperlink>
    </w:p>
    <w:p w:rsidR="002B35DD" w:rsidRDefault="002B35DD" w:rsidP="0081018B">
      <w:pPr>
        <w:rPr>
          <w:rFonts w:ascii="Arial" w:eastAsia="SimSun" w:hAnsi="Arial" w:cs="Arial"/>
          <w:bCs/>
          <w:sz w:val="20"/>
          <w:lang w:eastAsia="zh-CN"/>
        </w:rPr>
      </w:pPr>
    </w:p>
    <w:p w:rsidR="00546174" w:rsidRPr="00546174" w:rsidRDefault="008300FC" w:rsidP="00546174">
      <w:pPr>
        <w:rPr>
          <w:rStyle w:val="Hyperlink"/>
          <w:rFonts w:ascii="Arial" w:eastAsia="SimSun" w:hAnsi="Arial" w:cs="Arial"/>
          <w:b/>
          <w:bCs/>
          <w:color w:val="800000"/>
          <w:sz w:val="20"/>
          <w:u w:val="none"/>
          <w:lang w:eastAsia="zh-CN"/>
        </w:rPr>
      </w:pPr>
      <w:r>
        <w:rPr>
          <w:rFonts w:ascii="Arial" w:eastAsia="SimSun" w:hAnsi="Arial" w:cs="Arial"/>
          <w:b/>
          <w:bCs/>
          <w:color w:val="800000"/>
          <w:sz w:val="20"/>
          <w:lang w:eastAsia="zh-CN"/>
        </w:rPr>
        <w:t>OTHER DEVELOPMENTS</w:t>
      </w:r>
    </w:p>
    <w:p w:rsidR="0063641E" w:rsidRDefault="0063641E" w:rsidP="0063641E">
      <w:pPr>
        <w:rPr>
          <w:rFonts w:ascii="Arial" w:eastAsia="SimSun" w:hAnsi="Arial" w:cs="Arial"/>
          <w:bCs/>
          <w:sz w:val="20"/>
          <w:lang w:eastAsia="zh-CN"/>
        </w:rPr>
      </w:pPr>
    </w:p>
    <w:p w:rsidR="0063641E" w:rsidRPr="0063641E" w:rsidRDefault="0063641E" w:rsidP="0063641E">
      <w:pPr>
        <w:rPr>
          <w:rFonts w:ascii="Arial" w:eastAsia="SimSun" w:hAnsi="Arial" w:cs="Arial"/>
          <w:b/>
          <w:bCs/>
          <w:sz w:val="20"/>
          <w:lang w:eastAsia="zh-CN"/>
        </w:rPr>
      </w:pPr>
      <w:r w:rsidRPr="0063641E">
        <w:rPr>
          <w:rFonts w:ascii="Arial" w:eastAsia="SimSun" w:hAnsi="Arial" w:cs="Arial"/>
          <w:b/>
          <w:bCs/>
          <w:sz w:val="20"/>
          <w:lang w:eastAsia="zh-CN"/>
        </w:rPr>
        <w:t>FSB Plenary meets in Paris</w:t>
      </w:r>
    </w:p>
    <w:p w:rsidR="0063641E" w:rsidRPr="0063641E" w:rsidRDefault="0063641E" w:rsidP="0063641E">
      <w:pPr>
        <w:rPr>
          <w:rFonts w:ascii="Arial" w:eastAsia="SimSun" w:hAnsi="Arial" w:cs="Arial"/>
          <w:b/>
          <w:bCs/>
          <w:sz w:val="20"/>
          <w:lang w:eastAsia="zh-CN"/>
        </w:rPr>
      </w:pPr>
      <w:r w:rsidRPr="0063641E">
        <w:rPr>
          <w:rFonts w:ascii="Arial" w:eastAsia="SimSun" w:hAnsi="Arial" w:cs="Arial"/>
          <w:bCs/>
          <w:sz w:val="20"/>
          <w:lang w:eastAsia="zh-CN"/>
        </w:rPr>
        <w:t xml:space="preserve">On 7 November, the FSB met in Paris to review vulnerabilities in the global financial system, discuss </w:t>
      </w:r>
      <w:proofErr w:type="spellStart"/>
      <w:r w:rsidRPr="0063641E">
        <w:rPr>
          <w:rFonts w:ascii="Arial" w:eastAsia="SimSun" w:hAnsi="Arial" w:cs="Arial"/>
          <w:bCs/>
          <w:sz w:val="20"/>
          <w:lang w:eastAsia="zh-CN"/>
        </w:rPr>
        <w:t>FinTech</w:t>
      </w:r>
      <w:proofErr w:type="spellEnd"/>
      <w:r w:rsidRPr="0063641E">
        <w:rPr>
          <w:rFonts w:ascii="Arial" w:eastAsia="SimSun" w:hAnsi="Arial" w:cs="Arial"/>
          <w:bCs/>
          <w:sz w:val="20"/>
          <w:lang w:eastAsia="zh-CN"/>
        </w:rPr>
        <w:t xml:space="preserve"> developments and </w:t>
      </w:r>
      <w:proofErr w:type="spellStart"/>
      <w:r w:rsidRPr="0063641E">
        <w:rPr>
          <w:rFonts w:ascii="Arial" w:eastAsia="SimSun" w:hAnsi="Arial" w:cs="Arial"/>
          <w:bCs/>
          <w:sz w:val="20"/>
          <w:lang w:eastAsia="zh-CN"/>
        </w:rPr>
        <w:t>ongoing</w:t>
      </w:r>
      <w:proofErr w:type="spellEnd"/>
      <w:r w:rsidRPr="0063641E">
        <w:rPr>
          <w:rFonts w:ascii="Arial" w:eastAsia="SimSun" w:hAnsi="Arial" w:cs="Arial"/>
          <w:bCs/>
          <w:sz w:val="20"/>
          <w:lang w:eastAsia="zh-CN"/>
        </w:rPr>
        <w:t xml:space="preserve"> work and agree its work programme for 2020. Issues that were discussed include: (i) the implications of structural changes in the interest rate environment, particularly looking at the impact on financial stability; (ii) the development of a new surveillance framework which would help address risks to financial stability; (iii) endorsing an augmented framework for monitoring financial stability risks in crypto-asset markets to take account of the development of global </w:t>
      </w:r>
      <w:proofErr w:type="spellStart"/>
      <w:r w:rsidRPr="0063641E">
        <w:rPr>
          <w:rFonts w:ascii="Arial" w:eastAsia="SimSun" w:hAnsi="Arial" w:cs="Arial"/>
          <w:bCs/>
          <w:sz w:val="20"/>
          <w:lang w:eastAsia="zh-CN"/>
        </w:rPr>
        <w:t>stablecoin</w:t>
      </w:r>
      <w:proofErr w:type="spellEnd"/>
      <w:r w:rsidRPr="0063641E">
        <w:rPr>
          <w:rFonts w:ascii="Arial" w:eastAsia="SimSun" w:hAnsi="Arial" w:cs="Arial"/>
          <w:bCs/>
          <w:sz w:val="20"/>
          <w:lang w:eastAsia="zh-CN"/>
        </w:rPr>
        <w:t xml:space="preserve"> systems;</w:t>
      </w:r>
      <w:r w:rsidR="004201AC">
        <w:rPr>
          <w:rFonts w:ascii="Arial" w:eastAsia="SimSun" w:hAnsi="Arial" w:cs="Arial"/>
          <w:bCs/>
          <w:sz w:val="20"/>
          <w:lang w:eastAsia="zh-CN"/>
        </w:rPr>
        <w:t xml:space="preserve"> and</w:t>
      </w:r>
      <w:r w:rsidRPr="0063641E">
        <w:rPr>
          <w:rFonts w:ascii="Arial" w:eastAsia="SimSun" w:hAnsi="Arial" w:cs="Arial"/>
          <w:bCs/>
          <w:sz w:val="20"/>
          <w:lang w:eastAsia="zh-CN"/>
        </w:rPr>
        <w:t xml:space="preserve"> (iv) the International Association</w:t>
      </w:r>
      <w:r w:rsidR="00EA3CC6">
        <w:rPr>
          <w:rFonts w:ascii="Arial" w:eastAsia="SimSun" w:hAnsi="Arial" w:cs="Arial"/>
          <w:bCs/>
          <w:sz w:val="20"/>
          <w:lang w:eastAsia="zh-CN"/>
        </w:rPr>
        <w:t xml:space="preserve"> of Insurance Supervisors</w:t>
      </w:r>
      <w:r w:rsidRPr="0063641E">
        <w:rPr>
          <w:rFonts w:ascii="Arial" w:eastAsia="SimSun" w:hAnsi="Arial" w:cs="Arial"/>
          <w:bCs/>
          <w:sz w:val="20"/>
          <w:lang w:eastAsia="zh-CN"/>
        </w:rPr>
        <w:t xml:space="preserve"> framework for mitigating systemic risk in the insurance sector</w:t>
      </w:r>
      <w:r w:rsidR="004201AC">
        <w:rPr>
          <w:rFonts w:ascii="Arial" w:eastAsia="SimSun" w:hAnsi="Arial" w:cs="Arial"/>
          <w:bCs/>
          <w:sz w:val="20"/>
          <w:lang w:eastAsia="zh-CN"/>
        </w:rPr>
        <w:t>.</w:t>
      </w:r>
    </w:p>
    <w:p w:rsidR="0063641E" w:rsidRPr="0063641E" w:rsidRDefault="00213A05" w:rsidP="0063641E">
      <w:pPr>
        <w:rPr>
          <w:rFonts w:ascii="Arial" w:eastAsia="SimSun" w:hAnsi="Arial" w:cs="Arial"/>
          <w:bCs/>
          <w:sz w:val="20"/>
          <w:u w:val="single"/>
          <w:lang w:eastAsia="zh-CN"/>
        </w:rPr>
      </w:pPr>
      <w:hyperlink r:id="rId33" w:history="1">
        <w:r w:rsidR="0063641E" w:rsidRPr="0063641E">
          <w:rPr>
            <w:rStyle w:val="Hyperlink"/>
            <w:rFonts w:ascii="Arial" w:eastAsia="SimSun" w:hAnsi="Arial" w:cs="Arial"/>
            <w:bCs/>
            <w:sz w:val="20"/>
            <w:lang w:eastAsia="zh-CN"/>
          </w:rPr>
          <w:t>Read more</w:t>
        </w:r>
      </w:hyperlink>
    </w:p>
    <w:p w:rsidR="0063641E" w:rsidRPr="0063641E" w:rsidRDefault="0063641E" w:rsidP="000A219C">
      <w:pPr>
        <w:rPr>
          <w:rFonts w:ascii="Arial" w:eastAsia="SimSun" w:hAnsi="Arial" w:cs="Arial"/>
          <w:bCs/>
          <w:sz w:val="20"/>
          <w:lang w:eastAsia="zh-CN"/>
        </w:rPr>
      </w:pPr>
    </w:p>
    <w:p w:rsidR="000A219C" w:rsidRPr="000A219C" w:rsidRDefault="000A219C" w:rsidP="000A219C">
      <w:pPr>
        <w:rPr>
          <w:rFonts w:ascii="Arial" w:eastAsia="SimSun" w:hAnsi="Arial" w:cs="Arial"/>
          <w:b/>
          <w:bCs/>
          <w:sz w:val="20"/>
          <w:lang w:eastAsia="zh-CN"/>
        </w:rPr>
      </w:pPr>
      <w:r w:rsidRPr="000A219C">
        <w:rPr>
          <w:rFonts w:ascii="Arial" w:eastAsia="SimSun" w:hAnsi="Arial" w:cs="Arial"/>
          <w:b/>
          <w:bCs/>
          <w:sz w:val="20"/>
          <w:lang w:eastAsia="zh-CN"/>
        </w:rPr>
        <w:t>EC provides analysis on EU supervisory reporting requirements</w:t>
      </w:r>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 xml:space="preserve">On 7 November, the EC published the results of its fitness check of EU supervisory reporting requirements alongside an executive summary. The purpose of the fitness check to was to assess the criticisms of the EU-level supervisory reporting requirements, determining whether these requirements were fit for purpose. The EC concludes that the requirements are broadly effective and have improved the ability to monitor systemic risk. However, various inefficiencies were found including: (i) a lack of clarity; (ii) a lack of use of the standards; (iii) inconsistent wording in legislation which lead to a reduced consistency in applying the reporting frameworks. The EC identified the following areas for improvement: (i) introducing clear and </w:t>
      </w:r>
      <w:r w:rsidRPr="000A219C">
        <w:rPr>
          <w:rFonts w:ascii="Arial" w:eastAsia="SimSun" w:hAnsi="Arial" w:cs="Arial"/>
          <w:bCs/>
          <w:sz w:val="20"/>
          <w:lang w:eastAsia="zh-CN"/>
        </w:rPr>
        <w:lastRenderedPageBreak/>
        <w:t>consistent empowerments for the European Supervisory Authorities (ESAs) in developing technical standards in secondary legislation; (ii) assess to what extent data supervisors are adequately provided with the information needed to perform their role to a sufficient standard; (iii) increasing the use of standards and introducing common definitions in order to improve consistency; and (iv) introducing new technology that improves efficiency in the data collection process.</w:t>
      </w:r>
    </w:p>
    <w:p w:rsidR="000A219C" w:rsidRPr="000A219C" w:rsidRDefault="00213A05" w:rsidP="000A219C">
      <w:pPr>
        <w:rPr>
          <w:rFonts w:ascii="Arial" w:eastAsia="SimSun" w:hAnsi="Arial" w:cs="Arial"/>
          <w:bCs/>
          <w:sz w:val="20"/>
          <w:u w:val="single"/>
          <w:lang w:eastAsia="zh-CN"/>
        </w:rPr>
      </w:pPr>
      <w:hyperlink r:id="rId34" w:history="1">
        <w:r w:rsidR="000A219C" w:rsidRPr="000A219C">
          <w:rPr>
            <w:rStyle w:val="Hyperlink"/>
            <w:rFonts w:ascii="Arial" w:eastAsia="SimSun" w:hAnsi="Arial" w:cs="Arial"/>
            <w:bCs/>
            <w:sz w:val="20"/>
            <w:lang w:eastAsia="zh-CN"/>
          </w:rPr>
          <w:t>European Commission’s full publication</w:t>
        </w:r>
      </w:hyperlink>
    </w:p>
    <w:p w:rsidR="000A219C" w:rsidRPr="000A219C" w:rsidRDefault="00213A05" w:rsidP="000A219C">
      <w:pPr>
        <w:rPr>
          <w:rFonts w:ascii="Arial" w:eastAsia="SimSun" w:hAnsi="Arial" w:cs="Arial"/>
          <w:bCs/>
          <w:sz w:val="20"/>
          <w:lang w:eastAsia="zh-CN"/>
        </w:rPr>
      </w:pPr>
      <w:hyperlink r:id="rId35" w:history="1">
        <w:r w:rsidR="000A219C" w:rsidRPr="000A219C">
          <w:rPr>
            <w:rStyle w:val="Hyperlink"/>
            <w:rFonts w:ascii="Arial" w:eastAsia="SimSun" w:hAnsi="Arial" w:cs="Arial"/>
            <w:bCs/>
            <w:sz w:val="20"/>
            <w:lang w:eastAsia="zh-CN"/>
          </w:rPr>
          <w:t>Executive Summary</w:t>
        </w:r>
      </w:hyperlink>
    </w:p>
    <w:p w:rsidR="000A219C" w:rsidRPr="000A219C" w:rsidRDefault="000A219C" w:rsidP="000A219C">
      <w:pPr>
        <w:rPr>
          <w:rFonts w:ascii="Arial" w:eastAsia="SimSun" w:hAnsi="Arial" w:cs="Arial"/>
          <w:b/>
          <w:bCs/>
          <w:sz w:val="20"/>
          <w:lang w:eastAsia="zh-CN"/>
        </w:rPr>
      </w:pPr>
    </w:p>
    <w:p w:rsidR="000A219C" w:rsidRPr="000A219C" w:rsidRDefault="000A219C" w:rsidP="000A219C">
      <w:pPr>
        <w:rPr>
          <w:rFonts w:ascii="Arial" w:eastAsia="SimSun" w:hAnsi="Arial" w:cs="Arial"/>
          <w:b/>
          <w:bCs/>
          <w:sz w:val="20"/>
          <w:lang w:eastAsia="zh-CN"/>
        </w:rPr>
      </w:pPr>
      <w:bookmarkStart w:id="5" w:name="3"/>
      <w:bookmarkStart w:id="6" w:name="9"/>
      <w:bookmarkEnd w:id="5"/>
      <w:bookmarkEnd w:id="6"/>
      <w:r w:rsidRPr="000A219C">
        <w:rPr>
          <w:rFonts w:ascii="Arial" w:eastAsia="SimSun" w:hAnsi="Arial" w:cs="Arial"/>
          <w:b/>
          <w:bCs/>
          <w:sz w:val="20"/>
          <w:lang w:eastAsia="zh-CN"/>
        </w:rPr>
        <w:t xml:space="preserve">EBA announces details outlining the 2020 EU-wide banking sector stress test </w:t>
      </w:r>
    </w:p>
    <w:p w:rsidR="000A219C" w:rsidRPr="000A219C" w:rsidRDefault="000A219C" w:rsidP="000A219C">
      <w:pPr>
        <w:rPr>
          <w:rFonts w:ascii="Arial" w:eastAsia="SimSun" w:hAnsi="Arial" w:cs="Arial"/>
          <w:bCs/>
          <w:sz w:val="20"/>
          <w:lang w:eastAsia="zh-CN"/>
        </w:rPr>
      </w:pPr>
      <w:r w:rsidRPr="000A219C">
        <w:rPr>
          <w:rFonts w:ascii="Arial" w:eastAsia="SimSun" w:hAnsi="Arial" w:cs="Arial"/>
          <w:bCs/>
          <w:sz w:val="20"/>
          <w:lang w:eastAsia="zh-CN"/>
        </w:rPr>
        <w:t>On 7 November, the EBA announced the publication of the final version outlining the 2020 EU-wide stress test. The aim of the test is to provide a framework which analyses the ability of EU banks and the EU banking system with regards to sustaining shocks in the market. The test will be carried out on a sample of banks covering broadly 70% of the banking sector in the euro area, each non-euro area EU member state and Norway. Whilst the UK is included in this sample, should the UK leave the EU prior to the completion of the test, the UK banks will be removed from the sample. The EBA intends to launch the stress test at the end of January 2020, aiming to submit results between April 2020 and mid-July 2020. The EBA intends to publish the results by the end of July 2020.</w:t>
      </w:r>
    </w:p>
    <w:p w:rsidR="000A219C" w:rsidRPr="000A219C" w:rsidRDefault="00213A05" w:rsidP="008300FC">
      <w:pPr>
        <w:rPr>
          <w:rFonts w:ascii="Arial" w:eastAsia="SimSun" w:hAnsi="Arial" w:cs="Arial"/>
          <w:bCs/>
          <w:sz w:val="20"/>
          <w:lang w:eastAsia="zh-CN"/>
        </w:rPr>
      </w:pPr>
      <w:hyperlink r:id="rId36" w:history="1">
        <w:r w:rsidR="000A219C" w:rsidRPr="000A219C">
          <w:rPr>
            <w:rStyle w:val="Hyperlink"/>
            <w:rFonts w:ascii="Arial" w:eastAsia="SimSun" w:hAnsi="Arial" w:cs="Arial"/>
            <w:bCs/>
            <w:sz w:val="20"/>
            <w:lang w:eastAsia="zh-CN"/>
          </w:rPr>
          <w:t>Read more</w:t>
        </w:r>
      </w:hyperlink>
    </w:p>
    <w:p w:rsidR="000A219C" w:rsidRDefault="000A219C" w:rsidP="008300FC">
      <w:pPr>
        <w:rPr>
          <w:rFonts w:ascii="Arial" w:eastAsia="SimSun" w:hAnsi="Arial" w:cs="Arial"/>
          <w:b/>
          <w:bCs/>
          <w:sz w:val="20"/>
          <w:lang w:eastAsia="zh-CN"/>
        </w:rPr>
      </w:pPr>
    </w:p>
    <w:p w:rsidR="008300FC" w:rsidRPr="008300FC" w:rsidRDefault="008300FC" w:rsidP="008300FC">
      <w:pPr>
        <w:rPr>
          <w:rFonts w:ascii="Arial" w:eastAsia="SimSun" w:hAnsi="Arial" w:cs="Arial"/>
          <w:b/>
          <w:bCs/>
          <w:sz w:val="20"/>
          <w:lang w:eastAsia="zh-CN"/>
        </w:rPr>
      </w:pPr>
      <w:r w:rsidRPr="008300FC">
        <w:rPr>
          <w:rFonts w:ascii="Arial" w:eastAsia="SimSun" w:hAnsi="Arial" w:cs="Arial"/>
          <w:b/>
          <w:bCs/>
          <w:sz w:val="20"/>
          <w:lang w:eastAsia="zh-CN"/>
        </w:rPr>
        <w:t xml:space="preserve">General election causes closure to financial-services inquiries </w:t>
      </w:r>
    </w:p>
    <w:p w:rsidR="008300FC" w:rsidRDefault="008300FC" w:rsidP="008300FC">
      <w:pPr>
        <w:rPr>
          <w:rFonts w:ascii="Arial" w:eastAsia="SimSun" w:hAnsi="Arial" w:cs="Arial"/>
          <w:bCs/>
          <w:sz w:val="20"/>
          <w:lang w:eastAsia="zh-CN"/>
        </w:rPr>
      </w:pPr>
      <w:r w:rsidRPr="008300FC">
        <w:rPr>
          <w:rFonts w:ascii="Arial" w:eastAsia="SimSun" w:hAnsi="Arial" w:cs="Arial"/>
          <w:bCs/>
          <w:sz w:val="20"/>
          <w:lang w:eastAsia="zh-CN"/>
        </w:rPr>
        <w:t xml:space="preserve">On 5 November, the House of Commons Treasury </w:t>
      </w:r>
      <w:r w:rsidR="00827724">
        <w:rPr>
          <w:rFonts w:ascii="Arial" w:eastAsia="SimSun" w:hAnsi="Arial" w:cs="Arial"/>
          <w:bCs/>
          <w:sz w:val="20"/>
          <w:lang w:eastAsia="zh-CN"/>
        </w:rPr>
        <w:t xml:space="preserve">Select </w:t>
      </w:r>
      <w:r w:rsidRPr="008300FC">
        <w:rPr>
          <w:rFonts w:ascii="Arial" w:eastAsia="SimSun" w:hAnsi="Arial" w:cs="Arial"/>
          <w:bCs/>
          <w:sz w:val="20"/>
          <w:lang w:eastAsia="zh-CN"/>
        </w:rPr>
        <w:t>Committee announced that</w:t>
      </w:r>
      <w:r w:rsidR="00827724">
        <w:rPr>
          <w:rFonts w:ascii="Arial" w:eastAsia="SimSun" w:hAnsi="Arial" w:cs="Arial"/>
          <w:bCs/>
          <w:sz w:val="20"/>
          <w:lang w:eastAsia="zh-CN"/>
        </w:rPr>
        <w:t xml:space="preserve"> all i</w:t>
      </w:r>
      <w:r w:rsidRPr="008300FC">
        <w:rPr>
          <w:rFonts w:ascii="Arial" w:eastAsia="SimSun" w:hAnsi="Arial" w:cs="Arial"/>
          <w:bCs/>
          <w:sz w:val="20"/>
          <w:lang w:eastAsia="zh-CN"/>
        </w:rPr>
        <w:t>nquiries</w:t>
      </w:r>
      <w:r w:rsidR="00827724">
        <w:rPr>
          <w:rFonts w:ascii="Arial" w:eastAsia="SimSun" w:hAnsi="Arial" w:cs="Arial"/>
          <w:bCs/>
          <w:sz w:val="20"/>
          <w:lang w:eastAsia="zh-CN"/>
        </w:rPr>
        <w:t xml:space="preserve"> (including the inquiry looking at the future of financial services in the UK after </w:t>
      </w:r>
      <w:proofErr w:type="spellStart"/>
      <w:r w:rsidR="00827724">
        <w:rPr>
          <w:rFonts w:ascii="Arial" w:eastAsia="SimSun" w:hAnsi="Arial" w:cs="Arial"/>
          <w:bCs/>
          <w:sz w:val="20"/>
          <w:lang w:eastAsia="zh-CN"/>
        </w:rPr>
        <w:t>Brexit</w:t>
      </w:r>
      <w:proofErr w:type="spellEnd"/>
      <w:r w:rsidR="00827724">
        <w:rPr>
          <w:rFonts w:ascii="Arial" w:eastAsia="SimSun" w:hAnsi="Arial" w:cs="Arial"/>
          <w:bCs/>
          <w:sz w:val="20"/>
          <w:lang w:eastAsia="zh-CN"/>
        </w:rPr>
        <w:t>)</w:t>
      </w:r>
      <w:r w:rsidRPr="008300FC">
        <w:rPr>
          <w:rFonts w:ascii="Arial" w:eastAsia="SimSun" w:hAnsi="Arial" w:cs="Arial"/>
          <w:bCs/>
          <w:sz w:val="20"/>
          <w:lang w:eastAsia="zh-CN"/>
        </w:rPr>
        <w:t xml:space="preserve"> have been closed due to the dissolution of Parliament (on 6 November) ahead of the general election on 12 December</w:t>
      </w:r>
      <w:r w:rsidR="00827724">
        <w:rPr>
          <w:rFonts w:ascii="Arial" w:eastAsia="SimSun" w:hAnsi="Arial" w:cs="Arial"/>
          <w:bCs/>
          <w:sz w:val="20"/>
          <w:lang w:eastAsia="zh-CN"/>
        </w:rPr>
        <w:t>.</w:t>
      </w:r>
      <w:r w:rsidRPr="008300FC">
        <w:rPr>
          <w:rFonts w:ascii="Arial" w:eastAsia="SimSun" w:hAnsi="Arial" w:cs="Arial"/>
          <w:bCs/>
          <w:sz w:val="20"/>
          <w:lang w:eastAsia="zh-CN"/>
        </w:rPr>
        <w:t xml:space="preserve"> The Committee, however, may refer to the evidence given in these enquiries should a similarly inquiry on the subject occur in the future.</w:t>
      </w:r>
    </w:p>
    <w:p w:rsidR="008300FC" w:rsidRDefault="00213A05" w:rsidP="00770F2A">
      <w:pPr>
        <w:rPr>
          <w:rFonts w:ascii="Arial" w:eastAsia="SimSun" w:hAnsi="Arial" w:cs="Arial"/>
          <w:b/>
          <w:bCs/>
          <w:sz w:val="20"/>
          <w:lang w:eastAsia="zh-CN"/>
        </w:rPr>
      </w:pPr>
      <w:hyperlink r:id="rId37" w:history="1">
        <w:r w:rsidR="008300FC" w:rsidRPr="00827724">
          <w:rPr>
            <w:rStyle w:val="Hyperlink"/>
            <w:rFonts w:ascii="Arial" w:eastAsia="SimSun" w:hAnsi="Arial" w:cs="Arial"/>
            <w:bCs/>
            <w:sz w:val="20"/>
            <w:lang w:eastAsia="zh-CN"/>
          </w:rPr>
          <w:t>Read more</w:t>
        </w:r>
      </w:hyperlink>
    </w:p>
    <w:p w:rsidR="008300FC" w:rsidRDefault="008300FC" w:rsidP="00770F2A">
      <w:pPr>
        <w:rPr>
          <w:rFonts w:ascii="Arial" w:eastAsia="SimSun" w:hAnsi="Arial" w:cs="Arial"/>
          <w:b/>
          <w:bCs/>
          <w:sz w:val="20"/>
          <w:lang w:eastAsia="zh-CN"/>
        </w:rPr>
      </w:pPr>
    </w:p>
    <w:p w:rsidR="00E05ACD" w:rsidRPr="00E05ACD" w:rsidRDefault="00E05ACD" w:rsidP="00E05ACD">
      <w:pPr>
        <w:rPr>
          <w:rFonts w:ascii="Arial" w:eastAsia="SimSun" w:hAnsi="Arial" w:cs="Arial"/>
          <w:b/>
          <w:bCs/>
          <w:sz w:val="20"/>
          <w:lang w:eastAsia="zh-CN"/>
        </w:rPr>
      </w:pPr>
      <w:r w:rsidRPr="00E05ACD">
        <w:rPr>
          <w:rFonts w:ascii="Arial" w:eastAsia="SimSun" w:hAnsi="Arial" w:cs="Arial"/>
          <w:b/>
          <w:bCs/>
          <w:sz w:val="20"/>
          <w:lang w:eastAsia="zh-CN"/>
        </w:rPr>
        <w:t>FCA change approach to updating financial services register following complaints</w:t>
      </w:r>
    </w:p>
    <w:p w:rsidR="00E05ACD" w:rsidRPr="00E05ACD" w:rsidRDefault="00E05ACD" w:rsidP="00E05ACD">
      <w:pPr>
        <w:rPr>
          <w:rFonts w:ascii="Arial" w:eastAsia="SimSun" w:hAnsi="Arial" w:cs="Arial"/>
          <w:bCs/>
          <w:sz w:val="20"/>
          <w:lang w:eastAsia="zh-CN"/>
        </w:rPr>
      </w:pPr>
      <w:r w:rsidRPr="00E05ACD">
        <w:rPr>
          <w:rFonts w:ascii="Arial" w:eastAsia="SimSun" w:hAnsi="Arial" w:cs="Arial"/>
          <w:bCs/>
          <w:sz w:val="20"/>
          <w:lang w:eastAsia="zh-CN"/>
        </w:rPr>
        <w:t xml:space="preserve">On 5 November, the Office of the Complaints Commissioner published a </w:t>
      </w:r>
      <w:r w:rsidRPr="00E05ACD">
        <w:rPr>
          <w:rFonts w:ascii="Arial" w:eastAsia="SimSun" w:hAnsi="Arial" w:cs="Arial"/>
          <w:bCs/>
          <w:iCs/>
          <w:sz w:val="20"/>
          <w:lang w:eastAsia="zh-CN"/>
        </w:rPr>
        <w:t>final report</w:t>
      </w:r>
      <w:r w:rsidRPr="00E05ACD">
        <w:rPr>
          <w:rFonts w:ascii="Arial" w:eastAsia="SimSun" w:hAnsi="Arial" w:cs="Arial"/>
          <w:bCs/>
          <w:sz w:val="20"/>
          <w:lang w:eastAsia="zh-CN"/>
        </w:rPr>
        <w:t xml:space="preserve"> regarding a complaint about the FCA not keeping the financial services register up-to-date. </w:t>
      </w:r>
      <w:r>
        <w:rPr>
          <w:rFonts w:ascii="Arial" w:eastAsia="SimSun" w:hAnsi="Arial" w:cs="Arial"/>
          <w:bCs/>
          <w:sz w:val="20"/>
          <w:lang w:eastAsia="zh-CN"/>
        </w:rPr>
        <w:t xml:space="preserve">Historically, the FCA’s policy has stated </w:t>
      </w:r>
      <w:r w:rsidRPr="00E05ACD">
        <w:rPr>
          <w:rFonts w:ascii="Arial" w:eastAsia="SimSun" w:hAnsi="Arial" w:cs="Arial"/>
          <w:bCs/>
          <w:sz w:val="20"/>
          <w:lang w:eastAsia="zh-CN"/>
        </w:rPr>
        <w:t>that unless a firm provided notice of changes to the register by submitting the relevant form, they were under no obligation to make these changes. The Commissioner took the view that such an approach increased the risk of consumers falling victim to a scam firm potentially seeking to exploit the register’s deficiencies. Consequently the Commissioner has recommended that the FCA reviews its policy, aiming to take active steps to update their register. The FCA has confirmed it is implementing</w:t>
      </w:r>
      <w:r>
        <w:rPr>
          <w:rFonts w:ascii="Arial" w:eastAsia="SimSun" w:hAnsi="Arial" w:cs="Arial"/>
          <w:bCs/>
          <w:sz w:val="20"/>
          <w:lang w:eastAsia="zh-CN"/>
        </w:rPr>
        <w:t xml:space="preserve"> </w:t>
      </w:r>
      <w:r w:rsidRPr="00E05ACD">
        <w:rPr>
          <w:rFonts w:ascii="Arial" w:eastAsia="SimSun" w:hAnsi="Arial" w:cs="Arial"/>
          <w:bCs/>
          <w:sz w:val="20"/>
          <w:lang w:eastAsia="zh-CN"/>
        </w:rPr>
        <w:t>various improvements for gathering information from firms, also accepting that it should not wait for firms to provide notice of changes when the FCA is already aware of such changes.</w:t>
      </w:r>
    </w:p>
    <w:p w:rsidR="00E05ACD" w:rsidRPr="00E05ACD" w:rsidRDefault="00213A05" w:rsidP="00E05ACD">
      <w:pPr>
        <w:rPr>
          <w:rFonts w:ascii="Arial" w:eastAsia="SimSun" w:hAnsi="Arial" w:cs="Arial"/>
          <w:bCs/>
          <w:sz w:val="20"/>
          <w:lang w:eastAsia="zh-CN"/>
        </w:rPr>
      </w:pPr>
      <w:hyperlink r:id="rId38" w:history="1">
        <w:r w:rsidR="00E05ACD" w:rsidRPr="00E05ACD">
          <w:rPr>
            <w:rStyle w:val="Hyperlink"/>
            <w:rFonts w:ascii="Arial" w:eastAsia="SimSun" w:hAnsi="Arial" w:cs="Arial"/>
            <w:bCs/>
            <w:sz w:val="20"/>
            <w:lang w:eastAsia="zh-CN"/>
          </w:rPr>
          <w:t>Read more</w:t>
        </w:r>
      </w:hyperlink>
    </w:p>
    <w:p w:rsidR="00E05ACD" w:rsidRDefault="00E05ACD" w:rsidP="00E05ACD">
      <w:pPr>
        <w:rPr>
          <w:rFonts w:ascii="Arial" w:eastAsia="SimSun" w:hAnsi="Arial" w:cs="Arial"/>
          <w:b/>
          <w:bCs/>
          <w:sz w:val="20"/>
          <w:lang w:eastAsia="zh-CN"/>
        </w:rPr>
      </w:pPr>
    </w:p>
    <w:p w:rsidR="00E05ACD" w:rsidRPr="00E05ACD" w:rsidRDefault="00E05ACD" w:rsidP="00E05ACD">
      <w:pPr>
        <w:rPr>
          <w:rFonts w:ascii="Arial" w:eastAsia="SimSun" w:hAnsi="Arial" w:cs="Arial"/>
          <w:b/>
          <w:bCs/>
          <w:sz w:val="20"/>
          <w:lang w:eastAsia="zh-CN"/>
        </w:rPr>
      </w:pPr>
      <w:r w:rsidRPr="00E05ACD">
        <w:rPr>
          <w:rFonts w:ascii="Arial" w:eastAsia="SimSun" w:hAnsi="Arial" w:cs="Arial"/>
          <w:b/>
          <w:bCs/>
          <w:sz w:val="20"/>
          <w:lang w:eastAsia="zh-CN"/>
        </w:rPr>
        <w:t xml:space="preserve">FCA </w:t>
      </w:r>
      <w:r w:rsidR="00525CC7">
        <w:rPr>
          <w:rFonts w:ascii="Arial" w:eastAsia="SimSun" w:hAnsi="Arial" w:cs="Arial"/>
          <w:b/>
          <w:bCs/>
          <w:sz w:val="20"/>
          <w:lang w:eastAsia="zh-CN"/>
        </w:rPr>
        <w:t xml:space="preserve">issues </w:t>
      </w:r>
      <w:r w:rsidRPr="00E05ACD">
        <w:rPr>
          <w:rFonts w:ascii="Arial" w:eastAsia="SimSun" w:hAnsi="Arial" w:cs="Arial"/>
          <w:b/>
          <w:bCs/>
          <w:sz w:val="20"/>
          <w:lang w:eastAsia="zh-CN"/>
        </w:rPr>
        <w:t>policy development update</w:t>
      </w:r>
      <w:r w:rsidR="00525CC7">
        <w:rPr>
          <w:rFonts w:ascii="Arial" w:eastAsia="SimSun" w:hAnsi="Arial" w:cs="Arial"/>
          <w:b/>
          <w:bCs/>
          <w:sz w:val="20"/>
          <w:lang w:eastAsia="zh-CN"/>
        </w:rPr>
        <w:t xml:space="preserve"> for</w:t>
      </w:r>
      <w:r w:rsidRPr="00E05ACD">
        <w:rPr>
          <w:rFonts w:ascii="Arial" w:eastAsia="SimSun" w:hAnsi="Arial" w:cs="Arial"/>
          <w:b/>
          <w:bCs/>
          <w:sz w:val="20"/>
          <w:lang w:eastAsia="zh-CN"/>
        </w:rPr>
        <w:t xml:space="preserve"> November </w:t>
      </w:r>
    </w:p>
    <w:p w:rsidR="00E05ACD" w:rsidRPr="00E05ACD" w:rsidRDefault="00E05ACD" w:rsidP="00E05ACD">
      <w:pPr>
        <w:rPr>
          <w:rFonts w:ascii="Arial" w:eastAsia="SimSun" w:hAnsi="Arial" w:cs="Arial"/>
          <w:bCs/>
          <w:sz w:val="20"/>
          <w:lang w:eastAsia="zh-CN"/>
        </w:rPr>
      </w:pPr>
      <w:r w:rsidRPr="00E05ACD">
        <w:rPr>
          <w:rFonts w:ascii="Arial" w:eastAsia="SimSun" w:hAnsi="Arial" w:cs="Arial"/>
          <w:bCs/>
          <w:sz w:val="20"/>
          <w:lang w:eastAsia="zh-CN"/>
        </w:rPr>
        <w:t>On 1 November, the FCA updated its policy development update (PDU) webpage, which sets out information on recent and future FCA publications. This update summarises the FCA's proposed future publications. However, the update does not cover upcoming publications relating to the Office for Professional Body Anti-Money Laundering Supervision (OPBAS).</w:t>
      </w:r>
    </w:p>
    <w:p w:rsidR="00E05ACD" w:rsidRPr="00E05ACD" w:rsidRDefault="00213A05" w:rsidP="00E05ACD">
      <w:pPr>
        <w:rPr>
          <w:rFonts w:ascii="Arial" w:eastAsia="SimSun" w:hAnsi="Arial" w:cs="Arial"/>
          <w:bCs/>
          <w:sz w:val="20"/>
          <w:lang w:eastAsia="zh-CN"/>
        </w:rPr>
      </w:pPr>
      <w:hyperlink r:id="rId39" w:history="1">
        <w:r w:rsidR="00E05ACD" w:rsidRPr="009F2AB8">
          <w:rPr>
            <w:rStyle w:val="Hyperlink"/>
            <w:rFonts w:ascii="Arial" w:eastAsia="SimSun" w:hAnsi="Arial" w:cs="Arial"/>
            <w:bCs/>
            <w:sz w:val="20"/>
            <w:lang w:eastAsia="zh-CN"/>
          </w:rPr>
          <w:t>Read more</w:t>
        </w:r>
      </w:hyperlink>
    </w:p>
    <w:p w:rsidR="00E05ACD" w:rsidRDefault="00E05ACD" w:rsidP="00770F2A">
      <w:pPr>
        <w:rPr>
          <w:rFonts w:ascii="Arial" w:eastAsia="SimSun" w:hAnsi="Arial" w:cs="Arial"/>
          <w:b/>
          <w:bCs/>
          <w:sz w:val="20"/>
          <w:lang w:eastAsia="zh-CN"/>
        </w:rPr>
      </w:pPr>
    </w:p>
    <w:p w:rsidR="00770F2A" w:rsidRPr="00770F2A" w:rsidRDefault="00525CC7" w:rsidP="00770F2A">
      <w:pPr>
        <w:rPr>
          <w:rFonts w:ascii="Arial" w:eastAsia="SimSun" w:hAnsi="Arial" w:cs="Arial"/>
          <w:b/>
          <w:bCs/>
          <w:sz w:val="20"/>
          <w:lang w:eastAsia="zh-CN"/>
        </w:rPr>
      </w:pPr>
      <w:r>
        <w:rPr>
          <w:rFonts w:ascii="Arial" w:eastAsia="SimSun" w:hAnsi="Arial" w:cs="Arial"/>
          <w:b/>
          <w:bCs/>
          <w:sz w:val="20"/>
          <w:lang w:eastAsia="zh-CN"/>
        </w:rPr>
        <w:t>PRA publish</w:t>
      </w:r>
      <w:r w:rsidR="00770F2A" w:rsidRPr="00770F2A">
        <w:rPr>
          <w:rFonts w:ascii="Arial" w:eastAsia="SimSun" w:hAnsi="Arial" w:cs="Arial"/>
          <w:b/>
          <w:bCs/>
          <w:sz w:val="20"/>
          <w:lang w:eastAsia="zh-CN"/>
        </w:rPr>
        <w:t xml:space="preserve"> CEO letter on reliability of regulatory returns</w:t>
      </w:r>
    </w:p>
    <w:p w:rsidR="002D5062" w:rsidRDefault="00770F2A" w:rsidP="002D5062">
      <w:pPr>
        <w:rPr>
          <w:rFonts w:ascii="Arial" w:eastAsia="SimSun" w:hAnsi="Arial" w:cs="Arial"/>
          <w:bCs/>
          <w:sz w:val="20"/>
          <w:lang w:eastAsia="zh-CN"/>
        </w:rPr>
      </w:pPr>
      <w:r>
        <w:rPr>
          <w:rFonts w:ascii="Arial" w:eastAsia="SimSun" w:hAnsi="Arial" w:cs="Arial"/>
          <w:bCs/>
          <w:sz w:val="20"/>
          <w:lang w:eastAsia="zh-CN"/>
        </w:rPr>
        <w:t>On 1 November</w:t>
      </w:r>
      <w:r w:rsidRPr="00770F2A">
        <w:rPr>
          <w:rFonts w:ascii="Arial" w:eastAsia="SimSun" w:hAnsi="Arial" w:cs="Arial"/>
          <w:bCs/>
          <w:sz w:val="20"/>
          <w:lang w:eastAsia="zh-CN"/>
        </w:rPr>
        <w:t xml:space="preserve">, the PRA published a </w:t>
      </w:r>
      <w:r w:rsidRPr="004667E2">
        <w:rPr>
          <w:rFonts w:ascii="Arial" w:eastAsia="SimSun" w:hAnsi="Arial" w:cs="Arial"/>
          <w:bCs/>
          <w:iCs/>
          <w:sz w:val="20"/>
          <w:lang w:eastAsia="zh-CN"/>
        </w:rPr>
        <w:t>Dear CEO letter</w:t>
      </w:r>
      <w:r w:rsidRPr="00770F2A">
        <w:rPr>
          <w:rFonts w:ascii="Arial" w:eastAsia="SimSun" w:hAnsi="Arial" w:cs="Arial"/>
          <w:bCs/>
          <w:sz w:val="20"/>
          <w:lang w:eastAsia="zh-CN"/>
        </w:rPr>
        <w:t xml:space="preserve"> on the reliability of regulatory returns.</w:t>
      </w:r>
      <w:r w:rsidR="004667E2">
        <w:rPr>
          <w:rFonts w:ascii="Arial" w:eastAsia="SimSun" w:hAnsi="Arial" w:cs="Arial"/>
          <w:bCs/>
          <w:sz w:val="20"/>
          <w:lang w:eastAsia="zh-CN"/>
        </w:rPr>
        <w:t xml:space="preserve"> </w:t>
      </w:r>
      <w:r w:rsidR="00485278">
        <w:rPr>
          <w:rFonts w:ascii="Arial" w:eastAsia="SimSun" w:hAnsi="Arial" w:cs="Arial"/>
          <w:bCs/>
          <w:sz w:val="20"/>
          <w:lang w:eastAsia="zh-CN"/>
        </w:rPr>
        <w:t xml:space="preserve">This was done under the backdrop of an </w:t>
      </w:r>
      <w:r w:rsidR="000B0EC1">
        <w:rPr>
          <w:rFonts w:ascii="Arial" w:eastAsia="SimSun" w:hAnsi="Arial" w:cs="Arial"/>
          <w:bCs/>
          <w:sz w:val="20"/>
          <w:lang w:eastAsia="zh-CN"/>
        </w:rPr>
        <w:t xml:space="preserve">independent review that suggested implementation of formal third-party review of information supplied by PRA supervised firms. </w:t>
      </w:r>
      <w:r w:rsidRPr="00770F2A">
        <w:rPr>
          <w:rFonts w:ascii="Arial" w:eastAsia="SimSun" w:hAnsi="Arial" w:cs="Arial"/>
          <w:bCs/>
          <w:sz w:val="20"/>
          <w:lang w:eastAsia="zh-CN"/>
        </w:rPr>
        <w:t xml:space="preserve">Firms are expected, if asked, to be able to respond promptly to a request from the PRA to: </w:t>
      </w:r>
      <w:r w:rsidR="004667E2">
        <w:rPr>
          <w:rFonts w:ascii="Arial" w:eastAsia="SimSun" w:hAnsi="Arial" w:cs="Arial"/>
          <w:bCs/>
          <w:sz w:val="20"/>
          <w:lang w:eastAsia="zh-CN"/>
        </w:rPr>
        <w:t xml:space="preserve">(i) </w:t>
      </w:r>
      <w:r w:rsidR="00AF5EB4">
        <w:rPr>
          <w:rFonts w:ascii="Arial" w:eastAsia="SimSun" w:hAnsi="Arial" w:cs="Arial"/>
          <w:bCs/>
          <w:sz w:val="20"/>
          <w:lang w:eastAsia="zh-CN"/>
        </w:rPr>
        <w:t>d</w:t>
      </w:r>
      <w:r w:rsidR="00811FF9">
        <w:rPr>
          <w:rFonts w:ascii="Arial" w:eastAsia="SimSun" w:hAnsi="Arial" w:cs="Arial"/>
          <w:bCs/>
          <w:sz w:val="20"/>
          <w:lang w:eastAsia="zh-CN"/>
        </w:rPr>
        <w:t>emonstrate how they ensure regulatory reporting is conducted to a sufficient standard</w:t>
      </w:r>
      <w:r w:rsidR="004667E2">
        <w:rPr>
          <w:rFonts w:ascii="Arial" w:eastAsia="SimSun" w:hAnsi="Arial" w:cs="Arial"/>
          <w:bCs/>
          <w:sz w:val="20"/>
          <w:lang w:eastAsia="zh-CN"/>
        </w:rPr>
        <w:t>; (ii)</w:t>
      </w:r>
      <w:r w:rsidRPr="00770F2A">
        <w:rPr>
          <w:rFonts w:ascii="Arial" w:eastAsia="SimSun" w:hAnsi="Arial" w:cs="Arial"/>
          <w:bCs/>
          <w:sz w:val="20"/>
          <w:lang w:eastAsia="zh-CN"/>
        </w:rPr>
        <w:t xml:space="preserve"> </w:t>
      </w:r>
      <w:r w:rsidR="00AF5EB4">
        <w:rPr>
          <w:rFonts w:ascii="Arial" w:eastAsia="SimSun" w:hAnsi="Arial" w:cs="Arial"/>
          <w:bCs/>
          <w:sz w:val="20"/>
          <w:lang w:eastAsia="zh-CN"/>
        </w:rPr>
        <w:t>p</w:t>
      </w:r>
      <w:r w:rsidRPr="00770F2A">
        <w:rPr>
          <w:rFonts w:ascii="Arial" w:eastAsia="SimSun" w:hAnsi="Arial" w:cs="Arial"/>
          <w:bCs/>
          <w:sz w:val="20"/>
          <w:lang w:eastAsia="zh-CN"/>
        </w:rPr>
        <w:t xml:space="preserve">rovide details of the key </w:t>
      </w:r>
      <w:r w:rsidR="00811FF9">
        <w:rPr>
          <w:rFonts w:ascii="Arial" w:eastAsia="SimSun" w:hAnsi="Arial" w:cs="Arial"/>
          <w:bCs/>
          <w:sz w:val="20"/>
          <w:lang w:eastAsia="zh-CN"/>
        </w:rPr>
        <w:t>metrics used to validate the quality of their regulatory reporting</w:t>
      </w:r>
      <w:r w:rsidR="004667E2">
        <w:rPr>
          <w:rFonts w:ascii="Arial" w:eastAsia="SimSun" w:hAnsi="Arial" w:cs="Arial"/>
          <w:bCs/>
          <w:sz w:val="20"/>
          <w:lang w:eastAsia="zh-CN"/>
        </w:rPr>
        <w:t xml:space="preserve">; (iii) </w:t>
      </w:r>
      <w:r w:rsidR="00AF5EB4">
        <w:rPr>
          <w:rFonts w:ascii="Arial" w:eastAsia="SimSun" w:hAnsi="Arial" w:cs="Arial"/>
          <w:bCs/>
          <w:sz w:val="20"/>
          <w:lang w:eastAsia="zh-CN"/>
        </w:rPr>
        <w:t>p</w:t>
      </w:r>
      <w:r w:rsidRPr="00770F2A">
        <w:rPr>
          <w:rFonts w:ascii="Arial" w:eastAsia="SimSun" w:hAnsi="Arial" w:cs="Arial"/>
          <w:bCs/>
          <w:sz w:val="20"/>
          <w:lang w:eastAsia="zh-CN"/>
        </w:rPr>
        <w:t xml:space="preserve">rovide the PRA with </w:t>
      </w:r>
      <w:r w:rsidR="00811FF9">
        <w:rPr>
          <w:rFonts w:ascii="Arial" w:eastAsia="SimSun" w:hAnsi="Arial" w:cs="Arial"/>
          <w:bCs/>
          <w:sz w:val="20"/>
          <w:lang w:eastAsia="zh-CN"/>
        </w:rPr>
        <w:t xml:space="preserve">information relating to </w:t>
      </w:r>
      <w:r w:rsidRPr="00770F2A">
        <w:rPr>
          <w:rFonts w:ascii="Arial" w:eastAsia="SimSun" w:hAnsi="Arial" w:cs="Arial"/>
          <w:bCs/>
          <w:sz w:val="20"/>
          <w:lang w:eastAsia="zh-CN"/>
        </w:rPr>
        <w:t>any material regulatory repor</w:t>
      </w:r>
      <w:r w:rsidR="00811FF9">
        <w:rPr>
          <w:rFonts w:ascii="Arial" w:eastAsia="SimSun" w:hAnsi="Arial" w:cs="Arial"/>
          <w:bCs/>
          <w:sz w:val="20"/>
          <w:lang w:eastAsia="zh-CN"/>
        </w:rPr>
        <w:t>ting errors identified, alongside detail</w:t>
      </w:r>
      <w:r w:rsidRPr="00770F2A">
        <w:rPr>
          <w:rFonts w:ascii="Arial" w:eastAsia="SimSun" w:hAnsi="Arial" w:cs="Arial"/>
          <w:bCs/>
          <w:sz w:val="20"/>
          <w:lang w:eastAsia="zh-CN"/>
        </w:rPr>
        <w:t xml:space="preserve"> of the actions taken to remediate them.</w:t>
      </w:r>
      <w:r w:rsidR="00811FF9">
        <w:rPr>
          <w:rFonts w:ascii="Arial" w:eastAsia="SimSun" w:hAnsi="Arial" w:cs="Arial"/>
          <w:bCs/>
          <w:sz w:val="20"/>
          <w:lang w:eastAsia="zh-CN"/>
        </w:rPr>
        <w:t xml:space="preserve"> </w:t>
      </w:r>
      <w:r w:rsidR="00DC36B3">
        <w:rPr>
          <w:rFonts w:ascii="Arial" w:eastAsia="SimSun" w:hAnsi="Arial" w:cs="Arial"/>
          <w:bCs/>
          <w:sz w:val="20"/>
          <w:lang w:eastAsia="zh-CN"/>
        </w:rPr>
        <w:t xml:space="preserve">Firms are expected to take steps </w:t>
      </w:r>
      <w:r w:rsidRPr="00770F2A">
        <w:rPr>
          <w:rFonts w:ascii="Arial" w:eastAsia="SimSun" w:hAnsi="Arial" w:cs="Arial"/>
          <w:bCs/>
          <w:sz w:val="20"/>
          <w:lang w:eastAsia="zh-CN"/>
        </w:rPr>
        <w:t xml:space="preserve">to ensure the integrity of its returns. </w:t>
      </w:r>
      <w:r w:rsidR="00DC36B3">
        <w:rPr>
          <w:rFonts w:ascii="Arial" w:eastAsia="SimSun" w:hAnsi="Arial" w:cs="Arial"/>
          <w:bCs/>
          <w:sz w:val="20"/>
          <w:lang w:eastAsia="zh-CN"/>
        </w:rPr>
        <w:t xml:space="preserve">Doing so may involve: (i) </w:t>
      </w:r>
      <w:r w:rsidR="00AF5EB4">
        <w:rPr>
          <w:rFonts w:ascii="Arial" w:eastAsia="SimSun" w:hAnsi="Arial" w:cs="Arial"/>
          <w:bCs/>
          <w:sz w:val="20"/>
          <w:lang w:eastAsia="zh-CN"/>
        </w:rPr>
        <w:t>r</w:t>
      </w:r>
      <w:r w:rsidR="00DC36B3">
        <w:rPr>
          <w:rFonts w:ascii="Arial" w:eastAsia="SimSun" w:hAnsi="Arial" w:cs="Arial"/>
          <w:bCs/>
          <w:sz w:val="20"/>
          <w:lang w:eastAsia="zh-CN"/>
        </w:rPr>
        <w:t xml:space="preserve">egular reviews assessing the effectiveness of governance and; (ii) </w:t>
      </w:r>
      <w:r w:rsidR="00AF5EB4">
        <w:rPr>
          <w:rFonts w:ascii="Arial" w:eastAsia="SimSun" w:hAnsi="Arial" w:cs="Arial"/>
          <w:bCs/>
          <w:sz w:val="20"/>
          <w:lang w:eastAsia="zh-CN"/>
        </w:rPr>
        <w:t>c</w:t>
      </w:r>
      <w:r w:rsidR="00DC36B3">
        <w:rPr>
          <w:rFonts w:ascii="Arial" w:eastAsia="SimSun" w:hAnsi="Arial" w:cs="Arial"/>
          <w:bCs/>
          <w:sz w:val="20"/>
          <w:lang w:eastAsia="zh-CN"/>
        </w:rPr>
        <w:t>onducting deep dives to look at the accuracy of returns.</w:t>
      </w:r>
      <w:r w:rsidR="00AF5EB4">
        <w:rPr>
          <w:rFonts w:ascii="Arial" w:eastAsia="SimSun" w:hAnsi="Arial" w:cs="Arial"/>
          <w:bCs/>
          <w:sz w:val="20"/>
          <w:lang w:eastAsia="zh-CN"/>
        </w:rPr>
        <w:t xml:space="preserve"> </w:t>
      </w:r>
      <w:r w:rsidR="00E14B86">
        <w:rPr>
          <w:rFonts w:ascii="Arial" w:eastAsia="SimSun" w:hAnsi="Arial" w:cs="Arial"/>
          <w:bCs/>
          <w:sz w:val="20"/>
          <w:lang w:eastAsia="zh-CN"/>
        </w:rPr>
        <w:t>T</w:t>
      </w:r>
      <w:r w:rsidRPr="00770F2A">
        <w:rPr>
          <w:rFonts w:ascii="Arial" w:eastAsia="SimSun" w:hAnsi="Arial" w:cs="Arial"/>
          <w:bCs/>
          <w:sz w:val="20"/>
          <w:lang w:eastAsia="zh-CN"/>
        </w:rPr>
        <w:t xml:space="preserve">he PRA </w:t>
      </w:r>
      <w:r w:rsidR="00E14B86">
        <w:rPr>
          <w:rFonts w:ascii="Arial" w:eastAsia="SimSun" w:hAnsi="Arial" w:cs="Arial"/>
          <w:bCs/>
          <w:sz w:val="20"/>
          <w:lang w:eastAsia="zh-CN"/>
        </w:rPr>
        <w:t xml:space="preserve">also </w:t>
      </w:r>
      <w:r w:rsidRPr="00770F2A">
        <w:rPr>
          <w:rFonts w:ascii="Arial" w:eastAsia="SimSun" w:hAnsi="Arial" w:cs="Arial"/>
          <w:bCs/>
          <w:sz w:val="20"/>
          <w:lang w:eastAsia="zh-CN"/>
        </w:rPr>
        <w:t>intends to commission reports focus</w:t>
      </w:r>
      <w:r w:rsidR="00485278">
        <w:rPr>
          <w:rFonts w:ascii="Arial" w:eastAsia="SimSun" w:hAnsi="Arial" w:cs="Arial"/>
          <w:bCs/>
          <w:sz w:val="20"/>
          <w:lang w:eastAsia="zh-CN"/>
        </w:rPr>
        <w:t>ing</w:t>
      </w:r>
      <w:r w:rsidRPr="00770F2A">
        <w:rPr>
          <w:rFonts w:ascii="Arial" w:eastAsia="SimSun" w:hAnsi="Arial" w:cs="Arial"/>
          <w:bCs/>
          <w:sz w:val="20"/>
          <w:lang w:eastAsia="zh-CN"/>
        </w:rPr>
        <w:t xml:space="preserve"> on the common reporting framework and will also incorporate other related returns, including newly introduced returns. </w:t>
      </w:r>
    </w:p>
    <w:p w:rsidR="002B35DD" w:rsidRDefault="00213A05" w:rsidP="002D5062">
      <w:pPr>
        <w:rPr>
          <w:rFonts w:ascii="Arial" w:eastAsia="SimSun" w:hAnsi="Arial" w:cs="Arial"/>
          <w:bCs/>
          <w:sz w:val="20"/>
          <w:lang w:eastAsia="zh-CN"/>
        </w:rPr>
      </w:pPr>
      <w:hyperlink r:id="rId40" w:history="1">
        <w:r w:rsidR="002B35DD" w:rsidRPr="002B35DD">
          <w:rPr>
            <w:rStyle w:val="Hyperlink"/>
            <w:rFonts w:ascii="Arial" w:eastAsia="SimSun" w:hAnsi="Arial" w:cs="Arial"/>
            <w:bCs/>
            <w:sz w:val="20"/>
            <w:lang w:eastAsia="zh-CN"/>
          </w:rPr>
          <w:t>Read more</w:t>
        </w:r>
      </w:hyperlink>
    </w:p>
    <w:p w:rsidR="003F59D2" w:rsidRPr="003F59D2" w:rsidRDefault="003F59D2" w:rsidP="003F59D2">
      <w:pPr>
        <w:rPr>
          <w:rFonts w:ascii="Arial" w:eastAsia="SimSun" w:hAnsi="Arial" w:cs="Arial"/>
          <w:bCs/>
          <w:sz w:val="20"/>
          <w:lang w:eastAsia="zh-CN"/>
        </w:rPr>
      </w:pPr>
      <w:bookmarkStart w:id="7" w:name="11"/>
      <w:bookmarkStart w:id="8" w:name="4"/>
      <w:bookmarkStart w:id="9" w:name="10"/>
      <w:bookmarkEnd w:id="7"/>
      <w:bookmarkEnd w:id="8"/>
      <w:bookmarkEnd w:id="9"/>
      <w:r w:rsidRPr="003F59D2">
        <w:rPr>
          <w:rFonts w:ascii="Arial" w:eastAsia="SimSun" w:hAnsi="Arial" w:cs="Arial"/>
          <w:bCs/>
          <w:sz w:val="20"/>
          <w:lang w:eastAsia="zh-CN"/>
        </w:rPr>
        <w:t> </w:t>
      </w:r>
    </w:p>
    <w:p w:rsidR="00BD7DA1" w:rsidRPr="009B52A8" w:rsidRDefault="00BD7DA1" w:rsidP="0081018B">
      <w:pPr>
        <w:rPr>
          <w:rFonts w:ascii="Arial" w:eastAsia="SimSun" w:hAnsi="Arial" w:cs="Arial"/>
          <w:bCs/>
          <w:sz w:val="20"/>
          <w:lang w:eastAsia="zh-CN"/>
        </w:rPr>
      </w:pPr>
      <w:bookmarkStart w:id="10" w:name="12"/>
      <w:bookmarkStart w:id="11" w:name="13"/>
      <w:bookmarkEnd w:id="10"/>
      <w:bookmarkEnd w:id="11"/>
    </w:p>
    <w:sectPr w:rsidR="00BD7DA1" w:rsidRPr="009B52A8" w:rsidSect="0050297D">
      <w:headerReference w:type="even" r:id="rId41"/>
      <w:headerReference w:type="default" r:id="rId42"/>
      <w:footerReference w:type="even" r:id="rId43"/>
      <w:footerReference w:type="default" r:id="rId44"/>
      <w:headerReference w:type="first" r:id="rId45"/>
      <w:footerReference w:type="first" r:id="rId46"/>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7D" w:rsidRPr="00920631" w:rsidRDefault="0050297D" w:rsidP="001E7139">
      <w:r w:rsidRPr="00920631">
        <w:separator/>
      </w:r>
    </w:p>
  </w:endnote>
  <w:endnote w:type="continuationSeparator" w:id="0">
    <w:p w:rsidR="0050297D" w:rsidRPr="00920631" w:rsidRDefault="0050297D"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7D" w:rsidRDefault="00502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BB07C3" w:rsidRPr="00920631" w:rsidTr="00860FC9">
      <w:tc>
        <w:tcPr>
          <w:tcW w:w="5000" w:type="pct"/>
          <w:gridSpan w:val="3"/>
          <w:tcMar>
            <w:top w:w="170" w:type="dxa"/>
          </w:tcMar>
        </w:tcPr>
        <w:bookmarkStart w:id="12"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213A05">
            <w:t xml:space="preserve"> </w:t>
          </w:r>
          <w:r w:rsidRPr="00920631">
            <w:fldChar w:fldCharType="end"/>
          </w:r>
        </w:p>
      </w:tc>
    </w:tr>
    <w:tr w:rsidR="00BB07C3" w:rsidRPr="00920631" w:rsidTr="00860FC9">
      <w:tc>
        <w:tcPr>
          <w:tcW w:w="1665" w:type="pct"/>
        </w:tcPr>
        <w:p w:rsidR="00BB07C3" w:rsidRPr="00920631" w:rsidRDefault="00213A05" w:rsidP="007D75EC">
          <w:pPr>
            <w:pStyle w:val="AONormal8L"/>
          </w:pPr>
          <w:r>
            <w:fldChar w:fldCharType="begin"/>
          </w:r>
          <w:r>
            <w:instrText xml:space="preserve"> DOCPROPERTY cpCombinedRef </w:instrText>
          </w:r>
          <w:r>
            <w:fldChar w:fldCharType="separate"/>
          </w:r>
          <w:r>
            <w:t>0010023-0024973 BK:51361388.4</w:t>
          </w:r>
          <w:r>
            <w:fldChar w:fldCharType="end"/>
          </w:r>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213A05">
            <w:rPr>
              <w:noProof/>
            </w:rPr>
            <w:t>1</w:t>
          </w:r>
          <w:r w:rsidRPr="00920631">
            <w:fldChar w:fldCharType="end"/>
          </w:r>
        </w:p>
      </w:tc>
      <w:tc>
        <w:tcPr>
          <w:tcW w:w="1667" w:type="pct"/>
        </w:tcPr>
        <w:p w:rsidR="00BB07C3" w:rsidRPr="00920631" w:rsidRDefault="00BB07C3" w:rsidP="007D75EC">
          <w:pPr>
            <w:pStyle w:val="AONormal8R"/>
          </w:pPr>
        </w:p>
      </w:tc>
    </w:tr>
    <w:bookmarkEnd w:id="12"/>
  </w:tbl>
  <w:p w:rsidR="0061772E" w:rsidRPr="00920631" w:rsidRDefault="00213A05"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213A05" w:rsidP="005D5CB3">
          <w:pPr>
            <w:pStyle w:val="AONormal8LBold"/>
          </w:pPr>
          <w:r>
            <w:fldChar w:fldCharType="begin"/>
          </w:r>
          <w:r>
            <w:instrText xml:space="preserve"> DOCPROPERTY  cpFooterText </w:instrText>
          </w:r>
          <w:r>
            <w:fldChar w:fldCharType="separate"/>
          </w:r>
          <w:r w:rsidR="00D656A5">
            <w:t xml:space="preserve"> </w:t>
          </w:r>
          <w:r>
            <w:fldChar w:fldCharType="end"/>
          </w:r>
        </w:p>
      </w:tc>
    </w:tr>
    <w:tr w:rsidR="005D5CB3" w:rsidTr="005D5CB3">
      <w:tc>
        <w:tcPr>
          <w:tcW w:w="1666" w:type="pct"/>
        </w:tcPr>
        <w:p w:rsidR="005D5CB3" w:rsidRDefault="00213A05" w:rsidP="005D5CB3">
          <w:pPr>
            <w:pStyle w:val="AONormal8L"/>
          </w:pPr>
          <w:r>
            <w:fldChar w:fldCharType="begin"/>
          </w:r>
          <w:r>
            <w:instrText xml:space="preserve"> DOCPROPERTY  cpCombinedRef </w:instrText>
          </w:r>
          <w:r>
            <w:fldChar w:fldCharType="separate"/>
          </w:r>
          <w:r w:rsidR="00D656A5">
            <w:t>0010023-0024973 BK:51361388.1</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7D" w:rsidRPr="00920631" w:rsidRDefault="0050297D" w:rsidP="001E7139">
      <w:r w:rsidRPr="00920631">
        <w:separator/>
      </w:r>
    </w:p>
  </w:footnote>
  <w:footnote w:type="continuationSeparator" w:id="0">
    <w:p w:rsidR="0050297D" w:rsidRPr="00920631" w:rsidRDefault="0050297D" w:rsidP="001E7139">
      <w:r w:rsidRPr="009206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7D" w:rsidRDefault="0050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45533C" w:rsidRPr="00920631" w:rsidTr="0045533C">
      <w:tc>
        <w:tcPr>
          <w:tcW w:w="5000" w:type="pct"/>
        </w:tcPr>
        <w:p w:rsidR="0045533C" w:rsidRPr="00920631" w:rsidRDefault="00213A05" w:rsidP="0045533C">
          <w:pPr>
            <w:pStyle w:val="AONormal8LBold"/>
          </w:pPr>
          <w:r>
            <w:fldChar w:fldCharType="begin"/>
          </w:r>
          <w:r>
            <w:instrText xml:space="preserve"> DOCPROPERTY  cpHeaderText </w:instrText>
          </w:r>
          <w:r>
            <w:fldChar w:fldCharType="separate"/>
          </w:r>
          <w:r>
            <w:t xml:space="preserve"> </w:t>
          </w:r>
          <w:r>
            <w:fldChar w:fldCharType="end"/>
          </w:r>
        </w:p>
      </w:tc>
    </w:tr>
  </w:tbl>
  <w:p w:rsidR="0061772E" w:rsidRPr="00920631" w:rsidRDefault="00213A05" w:rsidP="0061772E">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5D5CB3" w:rsidTr="005D5CB3">
      <w:tc>
        <w:tcPr>
          <w:tcW w:w="9854" w:type="dxa"/>
        </w:tcPr>
        <w:bookmarkStart w:id="13" w:name="bmkHeaderPrimaryDoc"/>
        <w:p w:rsidR="005D5CB3" w:rsidRDefault="005D5CB3" w:rsidP="005D5CB3">
          <w:pPr>
            <w:pStyle w:val="AONormal8LBold"/>
          </w:pPr>
          <w:r>
            <w:fldChar w:fldCharType="begin"/>
          </w:r>
          <w:r>
            <w:instrText xml:space="preserve"> DOCPROPERTY  cpHeaderText </w:instrText>
          </w:r>
          <w:r>
            <w:fldChar w:fldCharType="separate"/>
          </w:r>
          <w:r w:rsidR="00D656A5">
            <w:t xml:space="preserve"> </w:t>
          </w:r>
          <w:r>
            <w:fldChar w:fldCharType="end"/>
          </w:r>
        </w:p>
      </w:tc>
    </w:tr>
    <w:bookmarkEnd w:id="13"/>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060A4DB9"/>
    <w:multiLevelType w:val="multilevel"/>
    <w:tmpl w:val="0B9CB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957C9A"/>
    <w:multiLevelType w:val="multilevel"/>
    <w:tmpl w:val="DD162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nsid w:val="13530689"/>
    <w:multiLevelType w:val="multilevel"/>
    <w:tmpl w:val="D98C5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6">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7">
    <w:nsid w:val="32CB448A"/>
    <w:multiLevelType w:val="multilevel"/>
    <w:tmpl w:val="6F42C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2EB26FC"/>
    <w:multiLevelType w:val="multilevel"/>
    <w:tmpl w:val="B9CE8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nsid w:val="39A812C8"/>
    <w:multiLevelType w:val="multilevel"/>
    <w:tmpl w:val="67DE1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A116DCC"/>
    <w:multiLevelType w:val="multilevel"/>
    <w:tmpl w:val="0D2EF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AA349AA"/>
    <w:multiLevelType w:val="multilevel"/>
    <w:tmpl w:val="634A7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6">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9">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nsid w:val="520720E0"/>
    <w:multiLevelType w:val="multilevel"/>
    <w:tmpl w:val="F4168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3AD4B1A"/>
    <w:multiLevelType w:val="multilevel"/>
    <w:tmpl w:val="EB1E6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F8F3D60"/>
    <w:multiLevelType w:val="multilevel"/>
    <w:tmpl w:val="A6F0C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5">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7">
    <w:nsid w:val="6F571F84"/>
    <w:multiLevelType w:val="multilevel"/>
    <w:tmpl w:val="8320E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9">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nsid w:val="7F9965D7"/>
    <w:multiLevelType w:val="multilevel"/>
    <w:tmpl w:val="6C88F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24"/>
  </w:num>
  <w:num w:numId="4">
    <w:abstractNumId w:val="29"/>
  </w:num>
  <w:num w:numId="5">
    <w:abstractNumId w:val="14"/>
  </w:num>
  <w:num w:numId="6">
    <w:abstractNumId w:val="16"/>
  </w:num>
  <w:num w:numId="7">
    <w:abstractNumId w:val="26"/>
  </w:num>
  <w:num w:numId="8">
    <w:abstractNumId w:val="0"/>
  </w:num>
  <w:num w:numId="9">
    <w:abstractNumId w:val="17"/>
  </w:num>
  <w:num w:numId="10">
    <w:abstractNumId w:val="13"/>
  </w:num>
  <w:num w:numId="11">
    <w:abstractNumId w:val="6"/>
  </w:num>
  <w:num w:numId="12">
    <w:abstractNumId w:val="5"/>
  </w:num>
  <w:num w:numId="13">
    <w:abstractNumId w:val="28"/>
  </w:num>
  <w:num w:numId="14">
    <w:abstractNumId w:val="15"/>
  </w:num>
  <w:num w:numId="15">
    <w:abstractNumId w:val="20"/>
  </w:num>
  <w:num w:numId="16">
    <w:abstractNumId w:val="9"/>
  </w:num>
  <w:num w:numId="17">
    <w:abstractNumId w:val="25"/>
  </w:num>
  <w:num w:numId="18">
    <w:abstractNumId w:val="3"/>
  </w:num>
  <w:num w:numId="19">
    <w:abstractNumId w:val="8"/>
  </w:num>
  <w:num w:numId="20">
    <w:abstractNumId w:val="7"/>
  </w:num>
  <w:num w:numId="21">
    <w:abstractNumId w:val="10"/>
  </w:num>
  <w:num w:numId="22">
    <w:abstractNumId w:val="4"/>
  </w:num>
  <w:num w:numId="23">
    <w:abstractNumId w:val="23"/>
  </w:num>
  <w:num w:numId="24">
    <w:abstractNumId w:val="1"/>
  </w:num>
  <w:num w:numId="25">
    <w:abstractNumId w:val="27"/>
  </w:num>
  <w:num w:numId="26">
    <w:abstractNumId w:val="21"/>
  </w:num>
  <w:num w:numId="27">
    <w:abstractNumId w:val="11"/>
  </w:num>
  <w:num w:numId="28">
    <w:abstractNumId w:val="30"/>
  </w:num>
  <w:num w:numId="29">
    <w:abstractNumId w:val="12"/>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7D"/>
    <w:rsid w:val="000146AE"/>
    <w:rsid w:val="00015FF8"/>
    <w:rsid w:val="000173F1"/>
    <w:rsid w:val="00035DF9"/>
    <w:rsid w:val="0004192E"/>
    <w:rsid w:val="00050F7D"/>
    <w:rsid w:val="000520A8"/>
    <w:rsid w:val="000534C0"/>
    <w:rsid w:val="0006427C"/>
    <w:rsid w:val="00065949"/>
    <w:rsid w:val="00071FF4"/>
    <w:rsid w:val="00075DB8"/>
    <w:rsid w:val="0008008D"/>
    <w:rsid w:val="00081328"/>
    <w:rsid w:val="00083181"/>
    <w:rsid w:val="000A219C"/>
    <w:rsid w:val="000B0EC1"/>
    <w:rsid w:val="000B163C"/>
    <w:rsid w:val="000C48E7"/>
    <w:rsid w:val="000D0702"/>
    <w:rsid w:val="000E2C9F"/>
    <w:rsid w:val="000F2A44"/>
    <w:rsid w:val="000F55F5"/>
    <w:rsid w:val="001002A8"/>
    <w:rsid w:val="001033A2"/>
    <w:rsid w:val="00105DA8"/>
    <w:rsid w:val="00106E17"/>
    <w:rsid w:val="00107BB0"/>
    <w:rsid w:val="00113CB2"/>
    <w:rsid w:val="00117ABB"/>
    <w:rsid w:val="00130905"/>
    <w:rsid w:val="0013722D"/>
    <w:rsid w:val="00147DA1"/>
    <w:rsid w:val="0015001A"/>
    <w:rsid w:val="00153016"/>
    <w:rsid w:val="00170066"/>
    <w:rsid w:val="00171E8C"/>
    <w:rsid w:val="001837F3"/>
    <w:rsid w:val="001930F8"/>
    <w:rsid w:val="001B2E03"/>
    <w:rsid w:val="001C7433"/>
    <w:rsid w:val="001D1AD2"/>
    <w:rsid w:val="001E1C9E"/>
    <w:rsid w:val="001E7139"/>
    <w:rsid w:val="001E79DF"/>
    <w:rsid w:val="001F02B3"/>
    <w:rsid w:val="00201F06"/>
    <w:rsid w:val="00207F8C"/>
    <w:rsid w:val="00213A05"/>
    <w:rsid w:val="00235DFB"/>
    <w:rsid w:val="00244F4C"/>
    <w:rsid w:val="00251D49"/>
    <w:rsid w:val="002577A0"/>
    <w:rsid w:val="00274E6C"/>
    <w:rsid w:val="00285008"/>
    <w:rsid w:val="0029376F"/>
    <w:rsid w:val="00294A6A"/>
    <w:rsid w:val="00296544"/>
    <w:rsid w:val="002A01D2"/>
    <w:rsid w:val="002B35DD"/>
    <w:rsid w:val="002B7F32"/>
    <w:rsid w:val="002D00B8"/>
    <w:rsid w:val="002D08A3"/>
    <w:rsid w:val="002D5062"/>
    <w:rsid w:val="002E0185"/>
    <w:rsid w:val="002E0DDE"/>
    <w:rsid w:val="002E71C0"/>
    <w:rsid w:val="002E7EA3"/>
    <w:rsid w:val="002F773E"/>
    <w:rsid w:val="0030624F"/>
    <w:rsid w:val="00314480"/>
    <w:rsid w:val="003160C1"/>
    <w:rsid w:val="00320953"/>
    <w:rsid w:val="00325A60"/>
    <w:rsid w:val="003332C4"/>
    <w:rsid w:val="003458A2"/>
    <w:rsid w:val="003458BC"/>
    <w:rsid w:val="00347785"/>
    <w:rsid w:val="00350133"/>
    <w:rsid w:val="00363B65"/>
    <w:rsid w:val="0036775F"/>
    <w:rsid w:val="00371615"/>
    <w:rsid w:val="00375A6D"/>
    <w:rsid w:val="003813A3"/>
    <w:rsid w:val="00386BD5"/>
    <w:rsid w:val="00390242"/>
    <w:rsid w:val="003969B5"/>
    <w:rsid w:val="003A4611"/>
    <w:rsid w:val="003B22E6"/>
    <w:rsid w:val="003C2105"/>
    <w:rsid w:val="003C38DA"/>
    <w:rsid w:val="003E2855"/>
    <w:rsid w:val="003E48F5"/>
    <w:rsid w:val="003F59D2"/>
    <w:rsid w:val="003F6651"/>
    <w:rsid w:val="00400EB1"/>
    <w:rsid w:val="00406A56"/>
    <w:rsid w:val="0041139F"/>
    <w:rsid w:val="004201AC"/>
    <w:rsid w:val="00424BCB"/>
    <w:rsid w:val="00432A6C"/>
    <w:rsid w:val="00435E68"/>
    <w:rsid w:val="00440C96"/>
    <w:rsid w:val="00445CE0"/>
    <w:rsid w:val="0045533C"/>
    <w:rsid w:val="0046023C"/>
    <w:rsid w:val="00462B7A"/>
    <w:rsid w:val="00463113"/>
    <w:rsid w:val="00465AD5"/>
    <w:rsid w:val="004667E2"/>
    <w:rsid w:val="00470F34"/>
    <w:rsid w:val="0047162F"/>
    <w:rsid w:val="00475067"/>
    <w:rsid w:val="004755C5"/>
    <w:rsid w:val="00485278"/>
    <w:rsid w:val="00496B22"/>
    <w:rsid w:val="004A6489"/>
    <w:rsid w:val="004A6E59"/>
    <w:rsid w:val="004A73FE"/>
    <w:rsid w:val="004B39A3"/>
    <w:rsid w:val="004B3AC5"/>
    <w:rsid w:val="004B6856"/>
    <w:rsid w:val="004C449A"/>
    <w:rsid w:val="004C587E"/>
    <w:rsid w:val="004D11CD"/>
    <w:rsid w:val="004E6114"/>
    <w:rsid w:val="0050297D"/>
    <w:rsid w:val="00510ADC"/>
    <w:rsid w:val="005241F4"/>
    <w:rsid w:val="00525CC7"/>
    <w:rsid w:val="00546174"/>
    <w:rsid w:val="0055198A"/>
    <w:rsid w:val="005708DC"/>
    <w:rsid w:val="005750E5"/>
    <w:rsid w:val="005A67F2"/>
    <w:rsid w:val="005B14DA"/>
    <w:rsid w:val="005C1242"/>
    <w:rsid w:val="005C595A"/>
    <w:rsid w:val="005D16AE"/>
    <w:rsid w:val="005D5CB3"/>
    <w:rsid w:val="005E38BD"/>
    <w:rsid w:val="005E3B66"/>
    <w:rsid w:val="005E46BB"/>
    <w:rsid w:val="005E5E8C"/>
    <w:rsid w:val="005F6794"/>
    <w:rsid w:val="00603795"/>
    <w:rsid w:val="00613A7F"/>
    <w:rsid w:val="00616117"/>
    <w:rsid w:val="006166A8"/>
    <w:rsid w:val="00624BE1"/>
    <w:rsid w:val="00630AD0"/>
    <w:rsid w:val="006344C0"/>
    <w:rsid w:val="0063641E"/>
    <w:rsid w:val="00677434"/>
    <w:rsid w:val="00681A16"/>
    <w:rsid w:val="0068599B"/>
    <w:rsid w:val="006A0700"/>
    <w:rsid w:val="006A0954"/>
    <w:rsid w:val="006A5AA0"/>
    <w:rsid w:val="006B3111"/>
    <w:rsid w:val="006C4FCE"/>
    <w:rsid w:val="006C6D54"/>
    <w:rsid w:val="006D52C0"/>
    <w:rsid w:val="006D7C3E"/>
    <w:rsid w:val="006F4DD9"/>
    <w:rsid w:val="00704318"/>
    <w:rsid w:val="0072309D"/>
    <w:rsid w:val="00730573"/>
    <w:rsid w:val="00734625"/>
    <w:rsid w:val="00742643"/>
    <w:rsid w:val="00751071"/>
    <w:rsid w:val="0075430A"/>
    <w:rsid w:val="00760311"/>
    <w:rsid w:val="00767F32"/>
    <w:rsid w:val="007700F8"/>
    <w:rsid w:val="00770F2A"/>
    <w:rsid w:val="007713BE"/>
    <w:rsid w:val="00781DFB"/>
    <w:rsid w:val="007A2D4D"/>
    <w:rsid w:val="007A38F3"/>
    <w:rsid w:val="007A5719"/>
    <w:rsid w:val="007B1619"/>
    <w:rsid w:val="007C1ED0"/>
    <w:rsid w:val="007C63AF"/>
    <w:rsid w:val="007D75EC"/>
    <w:rsid w:val="007F1058"/>
    <w:rsid w:val="007F41A3"/>
    <w:rsid w:val="007F4EAB"/>
    <w:rsid w:val="0081018B"/>
    <w:rsid w:val="00811FF9"/>
    <w:rsid w:val="00822A1E"/>
    <w:rsid w:val="008249F1"/>
    <w:rsid w:val="00827724"/>
    <w:rsid w:val="008300FC"/>
    <w:rsid w:val="00837396"/>
    <w:rsid w:val="0084762B"/>
    <w:rsid w:val="008530D5"/>
    <w:rsid w:val="00860D4C"/>
    <w:rsid w:val="00861729"/>
    <w:rsid w:val="0087219C"/>
    <w:rsid w:val="00880361"/>
    <w:rsid w:val="00881A78"/>
    <w:rsid w:val="0089434E"/>
    <w:rsid w:val="008A24E4"/>
    <w:rsid w:val="008A367D"/>
    <w:rsid w:val="008C14D4"/>
    <w:rsid w:val="008C3D12"/>
    <w:rsid w:val="008D31AB"/>
    <w:rsid w:val="008E0A09"/>
    <w:rsid w:val="008F3864"/>
    <w:rsid w:val="008F68A2"/>
    <w:rsid w:val="008F68D8"/>
    <w:rsid w:val="00914655"/>
    <w:rsid w:val="00920631"/>
    <w:rsid w:val="00922404"/>
    <w:rsid w:val="009253E9"/>
    <w:rsid w:val="009305FF"/>
    <w:rsid w:val="00935D73"/>
    <w:rsid w:val="00950199"/>
    <w:rsid w:val="00960F52"/>
    <w:rsid w:val="00961F3E"/>
    <w:rsid w:val="00963726"/>
    <w:rsid w:val="0098281E"/>
    <w:rsid w:val="00982A44"/>
    <w:rsid w:val="009B4740"/>
    <w:rsid w:val="009B52A8"/>
    <w:rsid w:val="009C1069"/>
    <w:rsid w:val="009C45C3"/>
    <w:rsid w:val="009D080D"/>
    <w:rsid w:val="009D20EB"/>
    <w:rsid w:val="009D6034"/>
    <w:rsid w:val="009E0C49"/>
    <w:rsid w:val="009E26AB"/>
    <w:rsid w:val="009F2AB8"/>
    <w:rsid w:val="00A04015"/>
    <w:rsid w:val="00A07EBB"/>
    <w:rsid w:val="00A15D14"/>
    <w:rsid w:val="00A279B2"/>
    <w:rsid w:val="00A37842"/>
    <w:rsid w:val="00A44F32"/>
    <w:rsid w:val="00A47E56"/>
    <w:rsid w:val="00A53D72"/>
    <w:rsid w:val="00A53F44"/>
    <w:rsid w:val="00A628C1"/>
    <w:rsid w:val="00A76A73"/>
    <w:rsid w:val="00AA5150"/>
    <w:rsid w:val="00AB56FF"/>
    <w:rsid w:val="00AC0CF0"/>
    <w:rsid w:val="00AC2B47"/>
    <w:rsid w:val="00AD694E"/>
    <w:rsid w:val="00AE1BA5"/>
    <w:rsid w:val="00AE1FBA"/>
    <w:rsid w:val="00AF5EB4"/>
    <w:rsid w:val="00B1124D"/>
    <w:rsid w:val="00B1321E"/>
    <w:rsid w:val="00B15851"/>
    <w:rsid w:val="00B2302B"/>
    <w:rsid w:val="00B234ED"/>
    <w:rsid w:val="00B34B22"/>
    <w:rsid w:val="00B43EB9"/>
    <w:rsid w:val="00B658D3"/>
    <w:rsid w:val="00B76E2E"/>
    <w:rsid w:val="00B7772A"/>
    <w:rsid w:val="00B843CA"/>
    <w:rsid w:val="00B970BB"/>
    <w:rsid w:val="00BA43DE"/>
    <w:rsid w:val="00BA6B05"/>
    <w:rsid w:val="00BB07C3"/>
    <w:rsid w:val="00BB7754"/>
    <w:rsid w:val="00BC0964"/>
    <w:rsid w:val="00BC0A61"/>
    <w:rsid w:val="00BC7CD3"/>
    <w:rsid w:val="00BD7DA1"/>
    <w:rsid w:val="00BE2502"/>
    <w:rsid w:val="00BE6B4B"/>
    <w:rsid w:val="00BF1C21"/>
    <w:rsid w:val="00BF3968"/>
    <w:rsid w:val="00C02306"/>
    <w:rsid w:val="00C11E59"/>
    <w:rsid w:val="00C1244A"/>
    <w:rsid w:val="00C2524B"/>
    <w:rsid w:val="00C26589"/>
    <w:rsid w:val="00C27C6D"/>
    <w:rsid w:val="00C3126F"/>
    <w:rsid w:val="00C32692"/>
    <w:rsid w:val="00C46506"/>
    <w:rsid w:val="00C933BD"/>
    <w:rsid w:val="00CA2C1F"/>
    <w:rsid w:val="00CA6867"/>
    <w:rsid w:val="00CC19DE"/>
    <w:rsid w:val="00CC7B71"/>
    <w:rsid w:val="00CE5F3F"/>
    <w:rsid w:val="00CE66F5"/>
    <w:rsid w:val="00CF18A5"/>
    <w:rsid w:val="00CF6B64"/>
    <w:rsid w:val="00D034A6"/>
    <w:rsid w:val="00D03DDB"/>
    <w:rsid w:val="00D10B4B"/>
    <w:rsid w:val="00D133C8"/>
    <w:rsid w:val="00D24F7B"/>
    <w:rsid w:val="00D3682C"/>
    <w:rsid w:val="00D36E14"/>
    <w:rsid w:val="00D519E9"/>
    <w:rsid w:val="00D531C1"/>
    <w:rsid w:val="00D60A12"/>
    <w:rsid w:val="00D656A5"/>
    <w:rsid w:val="00D65A4B"/>
    <w:rsid w:val="00D75BA6"/>
    <w:rsid w:val="00D836DC"/>
    <w:rsid w:val="00DA6F17"/>
    <w:rsid w:val="00DB1BE7"/>
    <w:rsid w:val="00DB3D88"/>
    <w:rsid w:val="00DB7326"/>
    <w:rsid w:val="00DC2326"/>
    <w:rsid w:val="00DC36B3"/>
    <w:rsid w:val="00DD124D"/>
    <w:rsid w:val="00DD42AB"/>
    <w:rsid w:val="00DF53A3"/>
    <w:rsid w:val="00E05622"/>
    <w:rsid w:val="00E05ACD"/>
    <w:rsid w:val="00E13626"/>
    <w:rsid w:val="00E14B86"/>
    <w:rsid w:val="00E17B23"/>
    <w:rsid w:val="00E30C20"/>
    <w:rsid w:val="00E32147"/>
    <w:rsid w:val="00E35250"/>
    <w:rsid w:val="00E54A19"/>
    <w:rsid w:val="00E629CD"/>
    <w:rsid w:val="00E62DF7"/>
    <w:rsid w:val="00E6413A"/>
    <w:rsid w:val="00E66D13"/>
    <w:rsid w:val="00E673C0"/>
    <w:rsid w:val="00E72697"/>
    <w:rsid w:val="00E72D84"/>
    <w:rsid w:val="00E81B74"/>
    <w:rsid w:val="00E82A02"/>
    <w:rsid w:val="00E904EB"/>
    <w:rsid w:val="00E9172D"/>
    <w:rsid w:val="00EA3CC6"/>
    <w:rsid w:val="00EA5677"/>
    <w:rsid w:val="00EA5A2B"/>
    <w:rsid w:val="00EC5AEC"/>
    <w:rsid w:val="00ED16C6"/>
    <w:rsid w:val="00ED1E76"/>
    <w:rsid w:val="00ED4C76"/>
    <w:rsid w:val="00EE15E0"/>
    <w:rsid w:val="00EF1683"/>
    <w:rsid w:val="00EF2319"/>
    <w:rsid w:val="00F01CD0"/>
    <w:rsid w:val="00F23986"/>
    <w:rsid w:val="00F4174B"/>
    <w:rsid w:val="00F418F2"/>
    <w:rsid w:val="00F50CCB"/>
    <w:rsid w:val="00F53B14"/>
    <w:rsid w:val="00F553A4"/>
    <w:rsid w:val="00F647A7"/>
    <w:rsid w:val="00F70721"/>
    <w:rsid w:val="00F77FA3"/>
    <w:rsid w:val="00F81850"/>
    <w:rsid w:val="00F93ECA"/>
    <w:rsid w:val="00FB204C"/>
    <w:rsid w:val="00FB742D"/>
    <w:rsid w:val="00FC3B5D"/>
    <w:rsid w:val="00FD4C5E"/>
    <w:rsid w:val="00FE086B"/>
    <w:rsid w:val="00FE1135"/>
    <w:rsid w:val="00FE4D31"/>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A6"/>
    <w:pPr>
      <w:spacing w:line="240" w:lineRule="auto"/>
      <w:jc w:val="both"/>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jc w:val="left"/>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jc w:val="left"/>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jc w:val="left"/>
    </w:pPr>
    <w:rPr>
      <w:rFonts w:eastAsia="Times New Roman"/>
      <w:szCs w:val="24"/>
    </w:rPr>
  </w:style>
  <w:style w:type="paragraph" w:styleId="EnvelopeReturn">
    <w:name w:val="envelope return"/>
    <w:basedOn w:val="Normal"/>
    <w:uiPriority w:val="99"/>
    <w:semiHidden/>
    <w:unhideWhenUsed/>
    <w:rsid w:val="001E7139"/>
    <w:pPr>
      <w:jc w:val="left"/>
    </w:pPr>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2"/>
    <w:basedOn w:val="Normal"/>
    <w:qFormat/>
    <w:rsid w:val="00D75BA6"/>
    <w:pPr>
      <w:spacing w:before="360"/>
    </w:pPr>
    <w:rPr>
      <w:i/>
      <w:color w:val="006595"/>
      <w:sz w:val="44"/>
      <w:szCs w:val="44"/>
    </w:rPr>
  </w:style>
  <w:style w:type="character" w:styleId="Hyperlink">
    <w:name w:val="Hyperlink"/>
    <w:basedOn w:val="DefaultParagraphFont"/>
    <w:uiPriority w:val="99"/>
    <w:unhideWhenUsed/>
    <w:rsid w:val="000173F1"/>
    <w:rPr>
      <w:color w:val="0000FF" w:themeColor="hyperlink"/>
      <w:u w:val="single"/>
    </w:rPr>
  </w:style>
  <w:style w:type="character" w:styleId="FollowedHyperlink">
    <w:name w:val="FollowedHyperlink"/>
    <w:basedOn w:val="DefaultParagraphFont"/>
    <w:uiPriority w:val="99"/>
    <w:semiHidden/>
    <w:unhideWhenUsed/>
    <w:rsid w:val="00470F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A6"/>
    <w:pPr>
      <w:spacing w:line="240" w:lineRule="auto"/>
      <w:jc w:val="both"/>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jc w:val="left"/>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jc w:val="left"/>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jc w:val="left"/>
    </w:pPr>
    <w:rPr>
      <w:rFonts w:eastAsia="Times New Roman"/>
      <w:szCs w:val="24"/>
    </w:rPr>
  </w:style>
  <w:style w:type="paragraph" w:styleId="EnvelopeReturn">
    <w:name w:val="envelope return"/>
    <w:basedOn w:val="Normal"/>
    <w:uiPriority w:val="99"/>
    <w:semiHidden/>
    <w:unhideWhenUsed/>
    <w:rsid w:val="001E7139"/>
    <w:pPr>
      <w:jc w:val="left"/>
    </w:pPr>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2"/>
    <w:basedOn w:val="Normal"/>
    <w:qFormat/>
    <w:rsid w:val="00D75BA6"/>
    <w:pPr>
      <w:spacing w:before="360"/>
    </w:pPr>
    <w:rPr>
      <w:i/>
      <w:color w:val="006595"/>
      <w:sz w:val="44"/>
      <w:szCs w:val="44"/>
    </w:rPr>
  </w:style>
  <w:style w:type="character" w:styleId="Hyperlink">
    <w:name w:val="Hyperlink"/>
    <w:basedOn w:val="DefaultParagraphFont"/>
    <w:uiPriority w:val="99"/>
    <w:unhideWhenUsed/>
    <w:rsid w:val="000173F1"/>
    <w:rPr>
      <w:color w:val="0000FF" w:themeColor="hyperlink"/>
      <w:u w:val="single"/>
    </w:rPr>
  </w:style>
  <w:style w:type="character" w:styleId="FollowedHyperlink">
    <w:name w:val="FollowedHyperlink"/>
    <w:basedOn w:val="DefaultParagraphFont"/>
    <w:uiPriority w:val="99"/>
    <w:semiHidden/>
    <w:unhideWhenUsed/>
    <w:rsid w:val="00470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553">
      <w:bodyDiv w:val="1"/>
      <w:marLeft w:val="0"/>
      <w:marRight w:val="0"/>
      <w:marTop w:val="0"/>
      <w:marBottom w:val="0"/>
      <w:divBdr>
        <w:top w:val="none" w:sz="0" w:space="0" w:color="auto"/>
        <w:left w:val="none" w:sz="0" w:space="0" w:color="auto"/>
        <w:bottom w:val="none" w:sz="0" w:space="0" w:color="auto"/>
        <w:right w:val="none" w:sz="0" w:space="0" w:color="auto"/>
      </w:divBdr>
    </w:div>
    <w:div w:id="565919494">
      <w:bodyDiv w:val="1"/>
      <w:marLeft w:val="0"/>
      <w:marRight w:val="0"/>
      <w:marTop w:val="0"/>
      <w:marBottom w:val="0"/>
      <w:divBdr>
        <w:top w:val="none" w:sz="0" w:space="0" w:color="auto"/>
        <w:left w:val="none" w:sz="0" w:space="0" w:color="auto"/>
        <w:bottom w:val="none" w:sz="0" w:space="0" w:color="auto"/>
        <w:right w:val="none" w:sz="0" w:space="0" w:color="auto"/>
      </w:divBdr>
    </w:div>
    <w:div w:id="648749526">
      <w:bodyDiv w:val="1"/>
      <w:marLeft w:val="0"/>
      <w:marRight w:val="0"/>
      <w:marTop w:val="0"/>
      <w:marBottom w:val="0"/>
      <w:divBdr>
        <w:top w:val="none" w:sz="0" w:space="0" w:color="auto"/>
        <w:left w:val="none" w:sz="0" w:space="0" w:color="auto"/>
        <w:bottom w:val="none" w:sz="0" w:space="0" w:color="auto"/>
        <w:right w:val="none" w:sz="0" w:space="0" w:color="auto"/>
      </w:divBdr>
    </w:div>
    <w:div w:id="680743253">
      <w:bodyDiv w:val="1"/>
      <w:marLeft w:val="0"/>
      <w:marRight w:val="0"/>
      <w:marTop w:val="0"/>
      <w:marBottom w:val="0"/>
      <w:divBdr>
        <w:top w:val="none" w:sz="0" w:space="0" w:color="auto"/>
        <w:left w:val="none" w:sz="0" w:space="0" w:color="auto"/>
        <w:bottom w:val="none" w:sz="0" w:space="0" w:color="auto"/>
        <w:right w:val="none" w:sz="0" w:space="0" w:color="auto"/>
      </w:divBdr>
    </w:div>
    <w:div w:id="739600968">
      <w:bodyDiv w:val="1"/>
      <w:marLeft w:val="0"/>
      <w:marRight w:val="0"/>
      <w:marTop w:val="0"/>
      <w:marBottom w:val="0"/>
      <w:divBdr>
        <w:top w:val="none" w:sz="0" w:space="0" w:color="auto"/>
        <w:left w:val="none" w:sz="0" w:space="0" w:color="auto"/>
        <w:bottom w:val="none" w:sz="0" w:space="0" w:color="auto"/>
        <w:right w:val="none" w:sz="0" w:space="0" w:color="auto"/>
      </w:divBdr>
    </w:div>
    <w:div w:id="888762096">
      <w:bodyDiv w:val="1"/>
      <w:marLeft w:val="0"/>
      <w:marRight w:val="0"/>
      <w:marTop w:val="0"/>
      <w:marBottom w:val="0"/>
      <w:divBdr>
        <w:top w:val="none" w:sz="0" w:space="0" w:color="auto"/>
        <w:left w:val="none" w:sz="0" w:space="0" w:color="auto"/>
        <w:bottom w:val="none" w:sz="0" w:space="0" w:color="auto"/>
        <w:right w:val="none" w:sz="0" w:space="0" w:color="auto"/>
      </w:divBdr>
    </w:div>
    <w:div w:id="888960616">
      <w:bodyDiv w:val="1"/>
      <w:marLeft w:val="0"/>
      <w:marRight w:val="0"/>
      <w:marTop w:val="0"/>
      <w:marBottom w:val="0"/>
      <w:divBdr>
        <w:top w:val="none" w:sz="0" w:space="0" w:color="auto"/>
        <w:left w:val="none" w:sz="0" w:space="0" w:color="auto"/>
        <w:bottom w:val="none" w:sz="0" w:space="0" w:color="auto"/>
        <w:right w:val="none" w:sz="0" w:space="0" w:color="auto"/>
      </w:divBdr>
    </w:div>
    <w:div w:id="898633549">
      <w:bodyDiv w:val="1"/>
      <w:marLeft w:val="0"/>
      <w:marRight w:val="0"/>
      <w:marTop w:val="0"/>
      <w:marBottom w:val="0"/>
      <w:divBdr>
        <w:top w:val="none" w:sz="0" w:space="0" w:color="auto"/>
        <w:left w:val="none" w:sz="0" w:space="0" w:color="auto"/>
        <w:bottom w:val="none" w:sz="0" w:space="0" w:color="auto"/>
        <w:right w:val="none" w:sz="0" w:space="0" w:color="auto"/>
      </w:divBdr>
    </w:div>
    <w:div w:id="1218006563">
      <w:bodyDiv w:val="1"/>
      <w:marLeft w:val="0"/>
      <w:marRight w:val="0"/>
      <w:marTop w:val="0"/>
      <w:marBottom w:val="0"/>
      <w:divBdr>
        <w:top w:val="none" w:sz="0" w:space="0" w:color="auto"/>
        <w:left w:val="none" w:sz="0" w:space="0" w:color="auto"/>
        <w:bottom w:val="none" w:sz="0" w:space="0" w:color="auto"/>
        <w:right w:val="none" w:sz="0" w:space="0" w:color="auto"/>
      </w:divBdr>
    </w:div>
    <w:div w:id="1291086523">
      <w:bodyDiv w:val="1"/>
      <w:marLeft w:val="0"/>
      <w:marRight w:val="0"/>
      <w:marTop w:val="0"/>
      <w:marBottom w:val="0"/>
      <w:divBdr>
        <w:top w:val="none" w:sz="0" w:space="0" w:color="auto"/>
        <w:left w:val="none" w:sz="0" w:space="0" w:color="auto"/>
        <w:bottom w:val="none" w:sz="0" w:space="0" w:color="auto"/>
        <w:right w:val="none" w:sz="0" w:space="0" w:color="auto"/>
      </w:divBdr>
    </w:div>
    <w:div w:id="1308631944">
      <w:bodyDiv w:val="1"/>
      <w:marLeft w:val="0"/>
      <w:marRight w:val="0"/>
      <w:marTop w:val="0"/>
      <w:marBottom w:val="0"/>
      <w:divBdr>
        <w:top w:val="none" w:sz="0" w:space="0" w:color="auto"/>
        <w:left w:val="none" w:sz="0" w:space="0" w:color="auto"/>
        <w:bottom w:val="none" w:sz="0" w:space="0" w:color="auto"/>
        <w:right w:val="none" w:sz="0" w:space="0" w:color="auto"/>
      </w:divBdr>
    </w:div>
    <w:div w:id="1355613108">
      <w:bodyDiv w:val="1"/>
      <w:marLeft w:val="0"/>
      <w:marRight w:val="0"/>
      <w:marTop w:val="0"/>
      <w:marBottom w:val="0"/>
      <w:divBdr>
        <w:top w:val="none" w:sz="0" w:space="0" w:color="auto"/>
        <w:left w:val="none" w:sz="0" w:space="0" w:color="auto"/>
        <w:bottom w:val="none" w:sz="0" w:space="0" w:color="auto"/>
        <w:right w:val="none" w:sz="0" w:space="0" w:color="auto"/>
      </w:divBdr>
    </w:div>
    <w:div w:id="1428117453">
      <w:bodyDiv w:val="1"/>
      <w:marLeft w:val="0"/>
      <w:marRight w:val="0"/>
      <w:marTop w:val="0"/>
      <w:marBottom w:val="0"/>
      <w:divBdr>
        <w:top w:val="none" w:sz="0" w:space="0" w:color="auto"/>
        <w:left w:val="none" w:sz="0" w:space="0" w:color="auto"/>
        <w:bottom w:val="none" w:sz="0" w:space="0" w:color="auto"/>
        <w:right w:val="none" w:sz="0" w:space="0" w:color="auto"/>
      </w:divBdr>
    </w:div>
    <w:div w:id="1509516228">
      <w:bodyDiv w:val="1"/>
      <w:marLeft w:val="0"/>
      <w:marRight w:val="0"/>
      <w:marTop w:val="0"/>
      <w:marBottom w:val="0"/>
      <w:divBdr>
        <w:top w:val="none" w:sz="0" w:space="0" w:color="auto"/>
        <w:left w:val="none" w:sz="0" w:space="0" w:color="auto"/>
        <w:bottom w:val="none" w:sz="0" w:space="0" w:color="auto"/>
        <w:right w:val="none" w:sz="0" w:space="0" w:color="auto"/>
      </w:divBdr>
    </w:div>
    <w:div w:id="1563640319">
      <w:bodyDiv w:val="1"/>
      <w:marLeft w:val="0"/>
      <w:marRight w:val="0"/>
      <w:marTop w:val="0"/>
      <w:marBottom w:val="0"/>
      <w:divBdr>
        <w:top w:val="none" w:sz="0" w:space="0" w:color="auto"/>
        <w:left w:val="none" w:sz="0" w:space="0" w:color="auto"/>
        <w:bottom w:val="none" w:sz="0" w:space="0" w:color="auto"/>
        <w:right w:val="none" w:sz="0" w:space="0" w:color="auto"/>
      </w:divBdr>
    </w:div>
    <w:div w:id="1572232045">
      <w:bodyDiv w:val="1"/>
      <w:marLeft w:val="0"/>
      <w:marRight w:val="0"/>
      <w:marTop w:val="0"/>
      <w:marBottom w:val="0"/>
      <w:divBdr>
        <w:top w:val="none" w:sz="0" w:space="0" w:color="auto"/>
        <w:left w:val="none" w:sz="0" w:space="0" w:color="auto"/>
        <w:bottom w:val="none" w:sz="0" w:space="0" w:color="auto"/>
        <w:right w:val="none" w:sz="0" w:space="0" w:color="auto"/>
      </w:divBdr>
    </w:div>
    <w:div w:id="1695500246">
      <w:bodyDiv w:val="1"/>
      <w:marLeft w:val="0"/>
      <w:marRight w:val="0"/>
      <w:marTop w:val="0"/>
      <w:marBottom w:val="0"/>
      <w:divBdr>
        <w:top w:val="none" w:sz="0" w:space="0" w:color="auto"/>
        <w:left w:val="none" w:sz="0" w:space="0" w:color="auto"/>
        <w:bottom w:val="none" w:sz="0" w:space="0" w:color="auto"/>
        <w:right w:val="none" w:sz="0" w:space="0" w:color="auto"/>
      </w:divBdr>
    </w:div>
    <w:div w:id="1897742467">
      <w:bodyDiv w:val="1"/>
      <w:marLeft w:val="0"/>
      <w:marRight w:val="0"/>
      <w:marTop w:val="0"/>
      <w:marBottom w:val="0"/>
      <w:divBdr>
        <w:top w:val="none" w:sz="0" w:space="0" w:color="auto"/>
        <w:left w:val="none" w:sz="0" w:space="0" w:color="auto"/>
        <w:bottom w:val="none" w:sz="0" w:space="0" w:color="auto"/>
        <w:right w:val="none" w:sz="0" w:space="0" w:color="auto"/>
      </w:divBdr>
    </w:div>
    <w:div w:id="1943344660">
      <w:bodyDiv w:val="1"/>
      <w:marLeft w:val="0"/>
      <w:marRight w:val="0"/>
      <w:marTop w:val="0"/>
      <w:marBottom w:val="0"/>
      <w:divBdr>
        <w:top w:val="none" w:sz="0" w:space="0" w:color="auto"/>
        <w:left w:val="none" w:sz="0" w:space="0" w:color="auto"/>
        <w:bottom w:val="none" w:sz="0" w:space="0" w:color="auto"/>
        <w:right w:val="none" w:sz="0" w:space="0" w:color="auto"/>
      </w:divBdr>
    </w:div>
    <w:div w:id="19805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ata.consilium.europa.eu/doc/document/ST-13571-2019-INIT/en/pdf" TargetMode="External"/><Relationship Id="rId26" Type="http://schemas.openxmlformats.org/officeDocument/2006/relationships/hyperlink" Target="https://www.ecb.europa.eu/pub/pdf/other/ecb.wgeurofr_highlevelrecommendatioseuriborfallbacks~abc6ca6268.en.pdf" TargetMode="External"/><Relationship Id="rId39" Type="http://schemas.openxmlformats.org/officeDocument/2006/relationships/hyperlink" Target="https://www.fca.org.uk/news/policy-development-update" TargetMode="External"/><Relationship Id="rId3" Type="http://schemas.openxmlformats.org/officeDocument/2006/relationships/customXml" Target="../customXml/item3.xml"/><Relationship Id="rId21" Type="http://schemas.openxmlformats.org/officeDocument/2006/relationships/hyperlink" Target="https://uk.practicallaw.thomsonreuters.com/w-022-7103?source=updateemail&amp;utm_campaign=EMFINSRVD&amp;utm_source=PLC&amp;utm_medium=email&amp;telephone=-&amp;email=Kay.Ogunade%40allenovery.com&amp;__lrTS=20191106132011787&amp;transitionType=Default&amp;contextData=%28sc.Default%29" TargetMode="External"/><Relationship Id="rId34" Type="http://schemas.openxmlformats.org/officeDocument/2006/relationships/hyperlink" Target="https://ec.europa.eu/info/sites/info/files/business_economy_euro/banking_and_finance/documents/191107-fitness-check-supervisory-reporting-staff-working-paper_en.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CF4774.2B73C6E0" TargetMode="External"/><Relationship Id="rId17" Type="http://schemas.openxmlformats.org/officeDocument/2006/relationships/hyperlink" Target="https://publications.parliament.uk/pa/cm201920/cmselect/cmtreasy/246/246.pdf" TargetMode="External"/><Relationship Id="rId25" Type="http://schemas.openxmlformats.org/officeDocument/2006/relationships/hyperlink" Target="http://email.practicallaw.com/c/11uFNEGpO6yu8sqvbZcbtz76gza" TargetMode="External"/><Relationship Id="rId33" Type="http://schemas.openxmlformats.org/officeDocument/2006/relationships/hyperlink" Target="https://www.fsb.org/wp-content/uploads/R071119.pdf" TargetMode="External"/><Relationship Id="rId38" Type="http://schemas.openxmlformats.org/officeDocument/2006/relationships/hyperlink" Target="http://frccommissioner.org.uk/wp-content/uploads/FCA00609-FR-for-publication-2-October-2019.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ationalcrimeagency.gov.uk/who-we-are/publications/390-sars-annual-report-2019/file" TargetMode="External"/><Relationship Id="rId20" Type="http://schemas.openxmlformats.org/officeDocument/2006/relationships/hyperlink" Target="https://www.fca.org.uk/publication/correspondence/letter-effective-liquidity-management-good-practice-authorised-fund-managers.pdf" TargetMode="External"/><Relationship Id="rId29" Type="http://schemas.openxmlformats.org/officeDocument/2006/relationships/hyperlink" Target="http://email.practicallaw.com/c/11uDt55HxLpChFAeFo6PMAclmwg" TargetMode="External"/><Relationship Id="rId41"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www.bankofengland.co.uk/-/media/boe/files/prudential-regulation/letter/2019/letter-from-gareth-truran-pra-current-areas-of-focus-for-general-insurance-firms.pdf" TargetMode="External"/><Relationship Id="rId32" Type="http://schemas.openxmlformats.org/officeDocument/2006/relationships/hyperlink" Target="https://thebbrs.org/live-pilot/" TargetMode="External"/><Relationship Id="rId37" Type="http://schemas.openxmlformats.org/officeDocument/2006/relationships/hyperlink" Target="https://www.parliament.uk/business/committees/committees-a-z/commons-select/liaison-committee/news-parliament-2017/parliament-dissolution-election-19/" TargetMode="External"/><Relationship Id="rId40" Type="http://schemas.openxmlformats.org/officeDocument/2006/relationships/hyperlink" Target="https://www.bankofengland.co.uk/-/media/boe/files/prudential-regulation/letter/2019/reliability-of-regulatory-returns.pdf"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egislation.gov.uk/uksi/2019/541/resources" TargetMode="External"/><Relationship Id="rId23" Type="http://schemas.openxmlformats.org/officeDocument/2006/relationships/hyperlink" Target="https://www.bankofengland.co.uk/-/media/boe/files/prudential-regulation/letter/2019/letter-from-james-orr-feedback-from-recent-pra-reserving-reviews.pdf" TargetMode="External"/><Relationship Id="rId28" Type="http://schemas.openxmlformats.org/officeDocument/2006/relationships/hyperlink" Target="http://email.practicallaw.com/c/11uDt4nOKXFztaWsthBysJdABwH" TargetMode="External"/><Relationship Id="rId36" Type="http://schemas.openxmlformats.org/officeDocument/2006/relationships/hyperlink" Target="https://eba.europa.eu/eba-publishes-2020-eu-wide-stress-test-methodology-and-draft-templates" TargetMode="External"/><Relationship Id="rId10" Type="http://schemas.openxmlformats.org/officeDocument/2006/relationships/endnotes" Target="endnotes.xml"/><Relationship Id="rId19" Type="http://schemas.openxmlformats.org/officeDocument/2006/relationships/hyperlink" Target="https://www.iosco.org/news/pdf/IOSCONEWS550.pdf" TargetMode="External"/><Relationship Id="rId31" Type="http://schemas.openxmlformats.org/officeDocument/2006/relationships/hyperlink" Target="http://email.practicallaw.com/c/11uCxGYwCB1qbepxbZUOjtKI2oG"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ca.org.uk/news/statements/fca-statement-reporting-derivatives-under-uk-emir-regime-no-deal-scenario" TargetMode="External"/><Relationship Id="rId22" Type="http://schemas.openxmlformats.org/officeDocument/2006/relationships/hyperlink" Target="https://www.biba.org.uk/press-releases/signposting-hailed-a-great-success-as-review-of-age-agreement-is-concluded/" TargetMode="External"/><Relationship Id="rId27" Type="http://schemas.openxmlformats.org/officeDocument/2006/relationships/hyperlink" Target="https://www.esma.europa.eu/sites/default/files/library/esma70-156-1484_cp_position_limits.pdf" TargetMode="External"/><Relationship Id="rId30" Type="http://schemas.openxmlformats.org/officeDocument/2006/relationships/hyperlink" Target="https://publications.parliament.uk/pa/cm201920/cmselect/cmworpen/292/292.pdf" TargetMode="External"/><Relationship Id="rId35" Type="http://schemas.openxmlformats.org/officeDocument/2006/relationships/hyperlink" Target="https://ec.europa.eu/info/sites/info/files/business_economy_euro/banking_and_finance/documents/191107-fitness-check-supervisory-reporting-executive-summary_en.pdf" TargetMode="External"/><Relationship Id="rId43" Type="http://schemas.openxmlformats.org/officeDocument/2006/relationships/footer" Target="foot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10-31T17-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microsoft.com/sharepoint/v3"/>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61EBBBA-F33B-4B0D-B8DA-CC2F0B80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0</TotalTime>
  <Pages>7</Pages>
  <Words>4317</Words>
  <Characters>24222</Characters>
  <Application>Microsoft Office Word</Application>
  <DocSecurity>0</DocSecurity>
  <Lines>397</Lines>
  <Paragraphs>124</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3</cp:revision>
  <cp:lastPrinted>2019-11-07T14:03:00Z</cp:lastPrinted>
  <dcterms:created xsi:type="dcterms:W3CDTF">2019-11-11T10:08:00Z</dcterms:created>
  <dcterms:modified xsi:type="dcterms:W3CDTF">2019-11-11T10:10:00Z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Paralegal</vt:lpwstr>
  </property>
  <property fmtid="{D5CDD505-2E9C-101B-9397-08002B2CF9AE}" pid="9" name="AuthorName">
    <vt:lpwstr>Matteo-Vincenzo Baratta</vt:lpwstr>
  </property>
  <property fmtid="{D5CDD505-2E9C-101B-9397-08002B2CF9AE}" pid="10" name="AuthorInitials">
    <vt:lpwstr>MVB</vt:lpwstr>
  </property>
  <property fmtid="{D5CDD505-2E9C-101B-9397-08002B2CF9AE}" pid="11" name="AuthorJobTitle">
    <vt:lpwstr/>
  </property>
  <property fmtid="{D5CDD505-2E9C-101B-9397-08002B2CF9AE}" pid="12" name="AuthorEmail">
    <vt:lpwstr>Matteo-Vincenzo.Baratta@AllenOvery.com</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MVB</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0010023</vt:lpwstr>
  </property>
  <property fmtid="{D5CDD505-2E9C-101B-9397-08002B2CF9AE}" pid="23" name="Matter">
    <vt:lpwstr>0024973</vt:lpwstr>
  </property>
  <property fmtid="{D5CDD505-2E9C-101B-9397-08002B2CF9AE}" pid="24" name="cpClientMatter">
    <vt:lpwstr>0010023-0024973</vt:lpwstr>
  </property>
  <property fmtid="{D5CDD505-2E9C-101B-9397-08002B2CF9AE}" pid="25" name="cpDocRef">
    <vt:lpwstr>BK:51361388.4</vt:lpwstr>
  </property>
  <property fmtid="{D5CDD505-2E9C-101B-9397-08002B2CF9AE}" pid="26" name="cpCombinedRef">
    <vt:lpwstr>0010023-0024973 BK:51361388.4</vt:lpwstr>
  </property>
</Properties>
</file>