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F" w:rsidRPr="00752940" w:rsidRDefault="009E1D05" w:rsidP="009E1D05">
      <w:pPr>
        <w:pStyle w:val="AODocTxt"/>
        <w:jc w:val="center"/>
        <w:rPr>
          <w:b/>
        </w:rPr>
      </w:pPr>
      <w:r w:rsidRPr="00752940">
        <w:rPr>
          <w:b/>
        </w:rPr>
        <w:t>Brexit: Financial Services statutory instruments made under the EU (Withdrawal) Act 2018</w:t>
      </w:r>
    </w:p>
    <w:p w:rsidR="006E4705" w:rsidRPr="00752940" w:rsidRDefault="00402D1B" w:rsidP="006E4705">
      <w:pPr>
        <w:pStyle w:val="AODocTxt"/>
        <w:jc w:val="right"/>
        <w:rPr>
          <w:b/>
          <w:i/>
        </w:rPr>
      </w:pPr>
      <w:r>
        <w:rPr>
          <w:b/>
          <w:i/>
        </w:rPr>
        <w:t>4 November</w:t>
      </w:r>
      <w:r w:rsidR="006E4705" w:rsidRPr="00752940">
        <w:rPr>
          <w:b/>
          <w:i/>
        </w:rPr>
        <w:t xml:space="preserve"> 201</w:t>
      </w:r>
      <w:r w:rsidR="00332A87">
        <w:rPr>
          <w:b/>
          <w:i/>
        </w:rPr>
        <w:t>9</w:t>
      </w:r>
    </w:p>
    <w:p w:rsidR="00004805" w:rsidRPr="00121138" w:rsidRDefault="00004805" w:rsidP="00004805">
      <w:pPr>
        <w:pStyle w:val="AODocTxt"/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757"/>
      </w:tblGrid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Negative statutory instruments laid before Parliament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(SIs laid before Parliament under the EU (Withdrawal) Act 2018, subject to the negative procedure)</w:t>
            </w:r>
          </w:p>
        </w:tc>
      </w:tr>
      <w:tr w:rsidR="000C421D" w:rsidRPr="0017203F" w:rsidTr="0017203F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21D" w:rsidRDefault="000C421D" w:rsidP="000C421D">
            <w:pPr>
              <w:pStyle w:val="AODocTxt"/>
              <w:spacing w:beforeLines="40" w:before="96" w:afterLines="40" w:after="96"/>
              <w:ind w:left="34"/>
            </w:pPr>
            <w:hyperlink r:id="rId11" w:history="1">
              <w:r w:rsidRPr="000C421D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The Cross-Border Distribution of Funds, Proxy Advisors, Prospectus and Gibraltar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21D" w:rsidRPr="00402D1B" w:rsidRDefault="000C421D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Made: 22 October 2019</w:t>
            </w:r>
          </w:p>
        </w:tc>
      </w:tr>
      <w:tr w:rsidR="0017203F" w:rsidRPr="0017203F" w:rsidTr="0017203F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17203F" w:rsidRDefault="000C421D" w:rsidP="0017203F">
            <w:pPr>
              <w:pStyle w:val="AODocTxt"/>
              <w:spacing w:beforeLines="40" w:before="96" w:afterLines="40" w:after="96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17203F" w:rsidRPr="001720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Capital Requirements (Amendment) (EU Exit) Regulat</w:t>
              </w:r>
              <w:r w:rsidR="0017203F" w:rsidRPr="001720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17203F" w:rsidRPr="001720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402D1B" w:rsidRDefault="0017203F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402D1B">
              <w:rPr>
                <w:rFonts w:ascii="Arial" w:hAnsi="Arial" w:cs="Arial"/>
                <w:iCs/>
                <w:sz w:val="20"/>
                <w:szCs w:val="20"/>
              </w:rPr>
              <w:t>Made: 5 September 2019</w:t>
            </w:r>
          </w:p>
        </w:tc>
      </w:tr>
      <w:tr w:rsidR="0017203F" w:rsidRPr="0017203F" w:rsidTr="0017203F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17203F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17203F" w:rsidRPr="001720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Prospectus (Amendment etc.)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402D1B" w:rsidRDefault="0017203F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402D1B">
              <w:rPr>
                <w:rFonts w:ascii="Arial" w:hAnsi="Arial" w:cs="Arial"/>
                <w:iCs/>
                <w:sz w:val="20"/>
                <w:szCs w:val="20"/>
              </w:rPr>
              <w:t xml:space="preserve">Made: </w:t>
            </w:r>
            <w:r w:rsidR="00CC4B35" w:rsidRPr="00402D1B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402D1B">
              <w:rPr>
                <w:rFonts w:ascii="Arial" w:hAnsi="Arial" w:cs="Arial"/>
                <w:iCs/>
                <w:sz w:val="20"/>
                <w:szCs w:val="20"/>
              </w:rPr>
              <w:t xml:space="preserve"> September 2019</w:t>
            </w:r>
          </w:p>
        </w:tc>
      </w:tr>
      <w:tr w:rsidR="0017203F" w:rsidRPr="0017203F" w:rsidTr="0017203F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17203F" w:rsidRDefault="000C421D" w:rsidP="00250568">
            <w:pPr>
              <w:pStyle w:val="AODocTxt"/>
              <w:spacing w:beforeLines="40" w:before="96" w:afterLines="40" w:after="96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250568" w:rsidRPr="0025056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Risk Transformation and Solvency 2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402D1B" w:rsidRDefault="0017203F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402D1B">
              <w:rPr>
                <w:rFonts w:ascii="Arial" w:hAnsi="Arial" w:cs="Arial"/>
                <w:iCs/>
                <w:sz w:val="20"/>
                <w:szCs w:val="20"/>
              </w:rPr>
              <w:t>Made: 5 September 2019</w:t>
            </w:r>
          </w:p>
        </w:tc>
      </w:tr>
      <w:tr w:rsidR="0017203F" w:rsidRPr="0017203F" w:rsidTr="0017203F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17203F" w:rsidRDefault="000C421D" w:rsidP="0017203F">
            <w:pPr>
              <w:pStyle w:val="AODocTxt"/>
              <w:spacing w:beforeLines="40" w:before="96" w:afterLines="40" w:after="96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17203F" w:rsidRPr="001720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Financial Services (Electronic Money, Payment Services and Miscellaneous Amendments)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03F" w:rsidRPr="00402D1B" w:rsidRDefault="0017203F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402D1B">
              <w:rPr>
                <w:rFonts w:ascii="Arial" w:hAnsi="Arial" w:cs="Arial"/>
                <w:iCs/>
                <w:sz w:val="20"/>
                <w:szCs w:val="20"/>
              </w:rPr>
              <w:t>Made: 5 September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Services (Miscellaneous) (Amendment) (EU Exit) Regulations 2019</w:t>
              </w:r>
            </w:hyperlink>
            <w:r w:rsidR="00A078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27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Credit Institutions and Insurance Undertakings Reorganis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tion and Winding Up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14 January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Consumer Protec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ion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6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Bank of England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4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Consumer Credit (Amendment)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27 September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Friendly Societies (Amendment)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Made: 27 September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 statutory instruments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(SIs approved by Parliament under the EU (Withdrawal Act 2018)</w:t>
            </w:r>
          </w:p>
        </w:tc>
      </w:tr>
      <w:tr w:rsidR="00402D1B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D1B" w:rsidRDefault="008A1FD5">
            <w:pPr>
              <w:pStyle w:val="AODocTxt"/>
              <w:spacing w:beforeLines="40" w:before="96" w:afterLines="40" w:after="96" w:line="240" w:lineRule="auto"/>
              <w:ind w:left="34"/>
            </w:pPr>
            <w:hyperlink r:id="rId22" w:history="1">
              <w:r w:rsidRPr="008A1FD5">
                <w:rPr>
                  <w:rStyle w:val="Hyperlink"/>
                  <w:rFonts w:ascii="Arial" w:hAnsi="Arial" w:cs="Arial"/>
                  <w:sz w:val="20"/>
                  <w:szCs w:val="20"/>
                </w:rPr>
                <w:t>The Over the Counter Derivatives, Central Counterparties and Trade Repositories (Amendment, etc., and Transitional Provision) (EU Exit) (No. 2)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D1B" w:rsidRDefault="008A1FD5" w:rsidP="008A1FD5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FD5">
              <w:rPr>
                <w:rFonts w:ascii="Arial" w:hAnsi="Arial" w:cs="Arial"/>
                <w:sz w:val="20"/>
                <w:szCs w:val="20"/>
              </w:rPr>
              <w:t xml:space="preserve">Approved by Parliament: </w:t>
            </w:r>
            <w:r w:rsidRPr="008A1FD5">
              <w:rPr>
                <w:rFonts w:ascii="Arial" w:hAnsi="Arial" w:cs="Arial"/>
                <w:color w:val="00B050"/>
                <w:sz w:val="20"/>
                <w:szCs w:val="20"/>
              </w:rPr>
              <w:t>29 October 2019</w:t>
            </w:r>
          </w:p>
        </w:tc>
      </w:tr>
      <w:bookmarkStart w:id="0" w:name="_GoBack"/>
      <w:bookmarkEnd w:id="0"/>
      <w:tr w:rsidR="00402D1B" w:rsidTr="008A1FD5">
        <w:trPr>
          <w:trHeight w:val="90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D1B" w:rsidRDefault="008A1FD5" w:rsidP="008A1FD5">
            <w:pPr>
              <w:pStyle w:val="AODocTxt"/>
              <w:spacing w:beforeLines="40" w:before="96" w:afterLines="40" w:after="96"/>
              <w:ind w:left="34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"http://www.legislation.gov.uk/uksi/2019/1390/contents/made"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D1B" w:rsidRPr="008A1FD5">
              <w:rPr>
                <w:rStyle w:val="Hyperlink"/>
                <w:rFonts w:ascii="Arial" w:hAnsi="Arial" w:cs="Arial"/>
                <w:sz w:val="20"/>
                <w:szCs w:val="20"/>
              </w:rPr>
              <w:t>The Financial Services (Miscellaneous) (Amendment) (EU Exit) (No. 3) Regulations 2019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D1B" w:rsidRDefault="00402D1B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24 October 2019</w:t>
            </w:r>
          </w:p>
        </w:tc>
      </w:tr>
      <w:tr w:rsidR="008A1FD5" w:rsidTr="008A1FD5">
        <w:trPr>
          <w:trHeight w:val="90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D5" w:rsidRDefault="008A1FD5" w:rsidP="008A1FD5">
            <w:pPr>
              <w:pStyle w:val="AODocTxt"/>
              <w:spacing w:beforeLines="40" w:before="96" w:afterLines="40" w:after="96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8A1FD5">
                <w:rPr>
                  <w:rStyle w:val="Hyperlink"/>
                  <w:rFonts w:ascii="Arial" w:hAnsi="Arial" w:cs="Arial"/>
                  <w:sz w:val="20"/>
                  <w:szCs w:val="20"/>
                </w:rPr>
                <w:t>The Electronic Commerce and Solvency 2 (Amendment etc.)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D5" w:rsidRDefault="008A1FD5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FD5">
              <w:rPr>
                <w:rFonts w:ascii="Arial" w:hAnsi="Arial" w:cs="Arial"/>
                <w:sz w:val="20"/>
                <w:szCs w:val="20"/>
              </w:rPr>
              <w:t>Approved by Parliament: 24 October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Services (Miscellaneous) (Amendme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t) (EU Exit) (No. 2)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</w:t>
            </w:r>
            <w:r w:rsidRPr="00402D1B">
              <w:rPr>
                <w:rFonts w:ascii="Arial" w:hAnsi="Arial" w:cs="Arial"/>
                <w:sz w:val="20"/>
                <w:szCs w:val="20"/>
              </w:rPr>
              <w:t>: 10 June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Official Listing of Securities, Prospectus and Transparency (Amendment etc.)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27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</w:t>
              </w:r>
              <w:proofErr w:type="spellStart"/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Uncertificated</w:t>
              </w:r>
              <w:proofErr w:type="spellEnd"/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Securities (Amendment and 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Gibraltar (Miscellaneous Amendments) (EU Exit) Re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ulations 2019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Public Record, Disclosure of Information and Co-operation (Financial Services) (Amendment) (EU Exit) Regulations 2019</w:t>
              </w:r>
            </w:hyperlink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29" w:history="1">
              <w:r w:rsidR="00A078F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Correction Slip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Mortgage Credit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3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Benchmarks (Amendment and Transitional Provision)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F7" w:rsidRDefault="00A078F7"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32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The Securitisation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F7" w:rsidRDefault="00A078F7"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Investment Exchanges, Clearing Houses and Central Securities Depositories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F7" w:rsidRDefault="00A078F7"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Insurance Distribution (Amendment) (EU Exit) Regulations 2019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F7" w:rsidRDefault="00A078F7"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Payment Accounts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F7" w:rsidRDefault="00A078F7">
            <w:r>
              <w:rPr>
                <w:rFonts w:ascii="Arial" w:hAnsi="Arial" w:cs="Arial"/>
                <w:sz w:val="20"/>
                <w:szCs w:val="20"/>
              </w:rPr>
              <w:t>Approved by Parliament: 25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Services and Markets Act 2000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22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Financial Services (Gibraltar) (Amendment) (EU Exit) 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15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3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The Financial Regulators’ Powers (Technical Standards etc.) and Markets in Financial Instruments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14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Services (Distance Marketing) (Amendment and Savings Provisions)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13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Transparency of Securities Financing Transactions and of Reuse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11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Equivalence Determinations for Financial Services and Miscellaneous Provisions (Amendment </w:t>
              </w:r>
              <w:proofErr w:type="spellStart"/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etc</w:t>
              </w:r>
              <w:proofErr w:type="spellEnd"/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11 March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2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Solvency II and Insurance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28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Services Contracts (Transitional and Saving Provision) (EU Exit) Regulations 2019</w:t>
              </w:r>
            </w:hyperlink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A078F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Correction</w:t>
              </w:r>
            </w:hyperlink>
            <w:r w:rsidR="00A078F7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 xml:space="preserve"> Slip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28 February 2019</w:t>
            </w:r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Correction: 25 January 2019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(numbering)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Packaged Retail and Insurance-based Investment Products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27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Guidance and Claims Act 2018 (Naming and Consequential Amendments)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Money Market Funds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Markets and Insolvency (Amendment and Transitional Provision)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21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Social Entrepreneurship Funds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Long-term Investment Funds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Over the Counter Derivatives, Central Counterparties and Trade Repositories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2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Venture Capital Funds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3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Alternative Investment Fund Managers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19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Collective Investment Schemes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19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Market Abuse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18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Interchange Fee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13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The Financial Conglomerates and Other Financial Groups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14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Credit Rating Agencies (Amendment, etc.) (EU Exit) Regulations 2019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13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Money Laundering and Transfer of Funds (Amendment)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13 February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Competition (Amendment etc.) (EU Exit) Regulations 2019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22 January 2019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Markets in Financial Instruments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19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2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Capital Requirements (Amendment)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19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3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Bank Recovery and Resolution and Miscellaneous Provisions (Amendment)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4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Trade Repositories (Amendment and Transitional Provision)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by Parliament: 6 December 2018 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Central Securities Depositories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6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66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Short Selling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6 December 2018</w:t>
            </w:r>
          </w:p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78F7" w:rsidRDefault="000C421D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Correction:</w:t>
              </w:r>
            </w:hyperlink>
            <w:r w:rsidR="00A078F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078F7">
              <w:rPr>
                <w:rFonts w:ascii="Arial" w:hAnsi="Arial" w:cs="Arial"/>
                <w:sz w:val="20"/>
                <w:szCs w:val="20"/>
              </w:rPr>
              <w:t>18 March 2019 (typos)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Electricity and Gas (Powers to Make Subordinate Legislation)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5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9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Deposit Guarantee Scheme and Miscellaneous Provisions (Amendment)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3 December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70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The Electronic Money, Payment services and Payment Systems (Amendment and Transitional Provisions)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20 November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1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Credit Transfers and Direct Debits in Euro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19 November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Building Societies Legislation (Amendment)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16 November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Central Counterparties (Amendment etc., and Transitional Provision)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13 November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EEA Passport Rights (Amendment, etc., and Transitional Provisions) (EU Exit) Regulations 2018</w:t>
              </w:r>
            </w:hyperlink>
            <w:r w:rsidR="00A078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7 November 2018</w:t>
            </w:r>
          </w:p>
        </w:tc>
      </w:tr>
      <w:tr w:rsidR="00A078F7" w:rsidTr="00A078F7">
        <w:trPr>
          <w:trHeight w:val="416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0C421D">
            <w:pPr>
              <w:pStyle w:val="AODocTxt"/>
              <w:spacing w:beforeLines="40" w:before="96" w:afterLines="40" w:after="96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A078F7">
                <w:rPr>
                  <w:rStyle w:val="Hyperlink"/>
                  <w:rFonts w:ascii="Arial" w:hAnsi="Arial" w:cs="Arial"/>
                  <w:sz w:val="20"/>
                  <w:szCs w:val="20"/>
                </w:rPr>
                <w:t>The Financial Regulators' Powers (Technical Standards etc.) (Amendment etc.) (EU Exit) Regulations 2018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8F7" w:rsidRDefault="00A078F7">
            <w:pPr>
              <w:pStyle w:val="AODocTxt"/>
              <w:spacing w:beforeLines="40" w:before="96" w:afterLines="40" w:after="96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Parliament: 26 October 2018</w:t>
            </w:r>
          </w:p>
        </w:tc>
      </w:tr>
    </w:tbl>
    <w:p w:rsidR="001E79DF" w:rsidRPr="00121138" w:rsidRDefault="001E79DF" w:rsidP="005C71DE">
      <w:pPr>
        <w:pStyle w:val="AODocTxt"/>
      </w:pPr>
    </w:p>
    <w:sectPr w:rsidR="001E79DF" w:rsidRPr="00121138" w:rsidSect="00FC3DDA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DA" w:rsidRPr="00920631" w:rsidRDefault="00FC3DDA" w:rsidP="001E7139">
      <w:r w:rsidRPr="00920631">
        <w:separator/>
      </w:r>
    </w:p>
  </w:endnote>
  <w:endnote w:type="continuationSeparator" w:id="0">
    <w:p w:rsidR="00FC3DDA" w:rsidRPr="00920631" w:rsidRDefault="00FC3DDA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DA" w:rsidRDefault="00FC3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BB07C3" w:rsidRPr="00920631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BB07C3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402D1B">
            <w:t xml:space="preserve"> </w:t>
          </w:r>
          <w:r w:rsidRPr="00920631">
            <w:fldChar w:fldCharType="end"/>
          </w:r>
        </w:p>
      </w:tc>
    </w:tr>
    <w:tr w:rsidR="00BB07C3" w:rsidRPr="00920631" w:rsidTr="00860FC9">
      <w:tc>
        <w:tcPr>
          <w:tcW w:w="1665" w:type="pct"/>
        </w:tcPr>
        <w:p w:rsidR="00BB07C3" w:rsidRPr="00920631" w:rsidRDefault="000C421D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402D1B">
            <w:t>0010023-0027435 BK:47140143.1</w:t>
          </w:r>
          <w:r>
            <w:fldChar w:fldCharType="end"/>
          </w:r>
        </w:p>
      </w:tc>
      <w:tc>
        <w:tcPr>
          <w:tcW w:w="1667" w:type="pct"/>
        </w:tcPr>
        <w:p w:rsidR="00BB07C3" w:rsidRPr="00920631" w:rsidRDefault="00BB07C3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 w:rsidR="000C421D">
            <w:rPr>
              <w:noProof/>
            </w:rPr>
            <w:t>2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RDefault="00BB07C3" w:rsidP="007D75EC">
          <w:pPr>
            <w:pStyle w:val="AONormal8R"/>
          </w:pPr>
        </w:p>
      </w:tc>
    </w:tr>
    <w:bookmarkEnd w:id="1"/>
  </w:tbl>
  <w:p w:rsidR="0061772E" w:rsidRPr="00920631" w:rsidRDefault="000C421D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5D5CB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0C421D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7C1698">
            <w:t xml:space="preserve"> </w:t>
          </w:r>
          <w:r>
            <w:fldChar w:fldCharType="end"/>
          </w:r>
        </w:p>
      </w:tc>
    </w:tr>
    <w:tr w:rsidR="005D5CB3" w:rsidTr="005D5CB3">
      <w:tc>
        <w:tcPr>
          <w:tcW w:w="1666" w:type="pct"/>
        </w:tcPr>
        <w:p w:rsidR="005D5CB3" w:rsidRDefault="000C421D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7C1698">
            <w:t>0010023-0027435 BK:47140143.1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DA" w:rsidRPr="00920631" w:rsidRDefault="00FC3DDA" w:rsidP="001E7139">
      <w:r w:rsidRPr="00920631">
        <w:separator/>
      </w:r>
    </w:p>
  </w:footnote>
  <w:footnote w:type="continuationSeparator" w:id="0">
    <w:p w:rsidR="00FC3DDA" w:rsidRPr="00920631" w:rsidRDefault="00FC3DDA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DA" w:rsidRDefault="00FC3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45533C" w:rsidRPr="00920631" w:rsidTr="0045533C">
      <w:tc>
        <w:tcPr>
          <w:tcW w:w="5000" w:type="pct"/>
        </w:tcPr>
        <w:p w:rsidR="0045533C" w:rsidRPr="00920631" w:rsidRDefault="000C421D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402D1B">
            <w:t xml:space="preserve"> </w:t>
          </w:r>
          <w:r>
            <w:fldChar w:fldCharType="end"/>
          </w:r>
        </w:p>
      </w:tc>
    </w:tr>
  </w:tbl>
  <w:p w:rsidR="0061772E" w:rsidRPr="00920631" w:rsidRDefault="000C421D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5D5CB3">
      <w:tc>
        <w:tcPr>
          <w:tcW w:w="9854" w:type="dxa"/>
        </w:tcPr>
        <w:bookmarkStart w:id="2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7C1698">
            <w:t xml:space="preserve"> </w:t>
          </w:r>
          <w:r>
            <w:fldChar w:fldCharType="end"/>
          </w:r>
        </w:p>
      </w:tc>
    </w:tr>
    <w:bookmarkEnd w:id="2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B03C890A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1F230E7"/>
    <w:multiLevelType w:val="singleLevel"/>
    <w:tmpl w:val="DC820D2A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62830D10"/>
    <w:multiLevelType w:val="multilevel"/>
    <w:tmpl w:val="FB3E2BC8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A"/>
    <w:rsid w:val="00004805"/>
    <w:rsid w:val="00035DF9"/>
    <w:rsid w:val="00044F6B"/>
    <w:rsid w:val="000520A8"/>
    <w:rsid w:val="00083181"/>
    <w:rsid w:val="000C421D"/>
    <w:rsid w:val="000D0702"/>
    <w:rsid w:val="00121138"/>
    <w:rsid w:val="0017203F"/>
    <w:rsid w:val="001837F3"/>
    <w:rsid w:val="001E7139"/>
    <w:rsid w:val="001E79DF"/>
    <w:rsid w:val="00207F8C"/>
    <w:rsid w:val="002138D0"/>
    <w:rsid w:val="00244F4C"/>
    <w:rsid w:val="00250568"/>
    <w:rsid w:val="00251D49"/>
    <w:rsid w:val="002A01D2"/>
    <w:rsid w:val="002E0DDE"/>
    <w:rsid w:val="00332A87"/>
    <w:rsid w:val="00375A6D"/>
    <w:rsid w:val="003813A3"/>
    <w:rsid w:val="003E42CD"/>
    <w:rsid w:val="00402D1B"/>
    <w:rsid w:val="00432A6C"/>
    <w:rsid w:val="00440C96"/>
    <w:rsid w:val="0045533C"/>
    <w:rsid w:val="00463113"/>
    <w:rsid w:val="0047162F"/>
    <w:rsid w:val="004A6489"/>
    <w:rsid w:val="004B39A3"/>
    <w:rsid w:val="004C587E"/>
    <w:rsid w:val="004E07D2"/>
    <w:rsid w:val="005B4481"/>
    <w:rsid w:val="005C595A"/>
    <w:rsid w:val="005C71DE"/>
    <w:rsid w:val="005D16AE"/>
    <w:rsid w:val="005D5CB3"/>
    <w:rsid w:val="005E5E8C"/>
    <w:rsid w:val="00624BE1"/>
    <w:rsid w:val="00630AD0"/>
    <w:rsid w:val="0068599B"/>
    <w:rsid w:val="006A5AA0"/>
    <w:rsid w:val="006C3E53"/>
    <w:rsid w:val="006C3EFE"/>
    <w:rsid w:val="006C6D54"/>
    <w:rsid w:val="006E4705"/>
    <w:rsid w:val="006F4DD9"/>
    <w:rsid w:val="00730573"/>
    <w:rsid w:val="00752940"/>
    <w:rsid w:val="007C1698"/>
    <w:rsid w:val="007C63AF"/>
    <w:rsid w:val="007D75EC"/>
    <w:rsid w:val="00822A1E"/>
    <w:rsid w:val="008A1FD5"/>
    <w:rsid w:val="008C14D4"/>
    <w:rsid w:val="008D6FF9"/>
    <w:rsid w:val="008E0A09"/>
    <w:rsid w:val="008F68D8"/>
    <w:rsid w:val="00920631"/>
    <w:rsid w:val="009575E7"/>
    <w:rsid w:val="00960F52"/>
    <w:rsid w:val="009D20EB"/>
    <w:rsid w:val="009E0C49"/>
    <w:rsid w:val="009E1D05"/>
    <w:rsid w:val="00A078F7"/>
    <w:rsid w:val="00A26FC4"/>
    <w:rsid w:val="00A279B2"/>
    <w:rsid w:val="00A34399"/>
    <w:rsid w:val="00A76A73"/>
    <w:rsid w:val="00AD35BB"/>
    <w:rsid w:val="00AD54D1"/>
    <w:rsid w:val="00B1321E"/>
    <w:rsid w:val="00B15851"/>
    <w:rsid w:val="00BA6B05"/>
    <w:rsid w:val="00BB07C3"/>
    <w:rsid w:val="00BB7754"/>
    <w:rsid w:val="00BC0964"/>
    <w:rsid w:val="00BE2502"/>
    <w:rsid w:val="00BF1C21"/>
    <w:rsid w:val="00C01DD4"/>
    <w:rsid w:val="00C2524B"/>
    <w:rsid w:val="00C27C6D"/>
    <w:rsid w:val="00C46506"/>
    <w:rsid w:val="00CA2C1F"/>
    <w:rsid w:val="00CA6867"/>
    <w:rsid w:val="00CC19DE"/>
    <w:rsid w:val="00CC4B35"/>
    <w:rsid w:val="00D03DDB"/>
    <w:rsid w:val="00D421A6"/>
    <w:rsid w:val="00D60A12"/>
    <w:rsid w:val="00D671F9"/>
    <w:rsid w:val="00D836DC"/>
    <w:rsid w:val="00E05622"/>
    <w:rsid w:val="00E17427"/>
    <w:rsid w:val="00E17B23"/>
    <w:rsid w:val="00E30C20"/>
    <w:rsid w:val="00E72D84"/>
    <w:rsid w:val="00E81B74"/>
    <w:rsid w:val="00E904EB"/>
    <w:rsid w:val="00E9172D"/>
    <w:rsid w:val="00EA41B2"/>
    <w:rsid w:val="00EA5A2B"/>
    <w:rsid w:val="00ED1E76"/>
    <w:rsid w:val="00EF1683"/>
    <w:rsid w:val="00F01CD0"/>
    <w:rsid w:val="00F11476"/>
    <w:rsid w:val="00F53B14"/>
    <w:rsid w:val="00F553A4"/>
    <w:rsid w:val="00F56E22"/>
    <w:rsid w:val="00F647A7"/>
    <w:rsid w:val="00F70721"/>
    <w:rsid w:val="00F87455"/>
    <w:rsid w:val="00F93ECA"/>
    <w:rsid w:val="00FC3DDA"/>
    <w:rsid w:val="00FD4C5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F7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uiPriority w:val="99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eastAsia="Times New Roman" w:hAnsi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eastAsia="Times New Roman" w:hAnsi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F7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uiPriority w:val="99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eastAsia="Times New Roman" w:hAnsi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eastAsia="Times New Roman" w:hAnsi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.uk/uksi/2019/1234/pdfs/uksi_20191234_en.pdf" TargetMode="External"/><Relationship Id="rId18" Type="http://schemas.openxmlformats.org/officeDocument/2006/relationships/hyperlink" Target="http://www.legislation.gov.uk/uksi/2018/1326/pdfs/uksi_20181326_en.pdf" TargetMode="External"/><Relationship Id="rId26" Type="http://schemas.openxmlformats.org/officeDocument/2006/relationships/hyperlink" Target="http://www.legislation.gov.uk/uksi/2019/679/pdfs/uksi_20190679_en.pdf" TargetMode="External"/><Relationship Id="rId39" Type="http://schemas.openxmlformats.org/officeDocument/2006/relationships/hyperlink" Target="http://www.legislation.gov.uk/uksi/2019/574/pdfs/uksi_20190574_en.pdf" TargetMode="External"/><Relationship Id="rId21" Type="http://schemas.openxmlformats.org/officeDocument/2006/relationships/hyperlink" Target="http://www.legislation.gov.uk/uksi/2018/1039/pdfs/uksi_20181039_en.pdf" TargetMode="External"/><Relationship Id="rId34" Type="http://schemas.openxmlformats.org/officeDocument/2006/relationships/hyperlink" Target="http://www.legislation.gov.uk/uksi/2019/663/pdfs/uksi_20190663_en.pdf" TargetMode="External"/><Relationship Id="rId42" Type="http://schemas.openxmlformats.org/officeDocument/2006/relationships/hyperlink" Target="http://www.legislation.gov.uk/uksi/2019/407/contents/made" TargetMode="External"/><Relationship Id="rId47" Type="http://schemas.openxmlformats.org/officeDocument/2006/relationships/hyperlink" Target="http://www.legislation.gov.uk/uksi/2019/394/contents/made" TargetMode="External"/><Relationship Id="rId50" Type="http://schemas.openxmlformats.org/officeDocument/2006/relationships/hyperlink" Target="http://www.legislation.gov.uk/uksi/2019/336/pdfs/uksi_20190336_en.pdf" TargetMode="External"/><Relationship Id="rId55" Type="http://schemas.openxmlformats.org/officeDocument/2006/relationships/hyperlink" Target="http://www.legislation.gov.uk/uksi/2019/310/pdfs/uksi_20190310_en.pdf" TargetMode="External"/><Relationship Id="rId63" Type="http://schemas.openxmlformats.org/officeDocument/2006/relationships/hyperlink" Target="http://www.legislation.gov.uk/uksi/2018/1394/pdfs/uksi_20181394_en.pdf" TargetMode="External"/><Relationship Id="rId68" Type="http://schemas.openxmlformats.org/officeDocument/2006/relationships/hyperlink" Target="http://www.legislation.gov.uk/uksi/2018/1286/contents/made" TargetMode="Externa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://www.legislation.gov.uk/uksi/2018/1199/pdfs/uksi_20181199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9/710/pdfs/uksi_20190710_en.pdf" TargetMode="External"/><Relationship Id="rId29" Type="http://schemas.openxmlformats.org/officeDocument/2006/relationships/hyperlink" Target="http://www.legislation.gov.uk/ukdsi/2019/9780111178942/pdfs/ukdsics_9780111178942_en_001.pdf" TargetMode="External"/><Relationship Id="rId11" Type="http://schemas.openxmlformats.org/officeDocument/2006/relationships/hyperlink" Target="http://www.legislation.gov.uk/uksi/2019/1370/contents/made" TargetMode="External"/><Relationship Id="rId24" Type="http://schemas.openxmlformats.org/officeDocument/2006/relationships/hyperlink" Target="http://www.legislation.gov.uk/uksi/2019/1010/pdfs/uksi_20191010_en.pdf" TargetMode="External"/><Relationship Id="rId32" Type="http://schemas.openxmlformats.org/officeDocument/2006/relationships/hyperlink" Target="http://www.legislation.gov.uk/uksi/2019/660/pdfs/uksi_20190660_en.pdf" TargetMode="External"/><Relationship Id="rId37" Type="http://schemas.openxmlformats.org/officeDocument/2006/relationships/hyperlink" Target="http://www.legislation.gov.uk/uksi/2019/589/pdfs/uksi_20190589_en.pdf" TargetMode="External"/><Relationship Id="rId40" Type="http://schemas.openxmlformats.org/officeDocument/2006/relationships/hyperlink" Target="http://www.legislation.gov.uk/uksi/2019/542/pdfs/uksi_20190542_en.pdf" TargetMode="External"/><Relationship Id="rId45" Type="http://schemas.openxmlformats.org/officeDocument/2006/relationships/hyperlink" Target="http://www.legislation.gov.uk/uksi/2019/403/contents/made" TargetMode="External"/><Relationship Id="rId53" Type="http://schemas.openxmlformats.org/officeDocument/2006/relationships/hyperlink" Target="http://www.legislation.gov.uk/uksi/2019/328/pdfs/uksi_20190328_en.pdf" TargetMode="External"/><Relationship Id="rId58" Type="http://schemas.openxmlformats.org/officeDocument/2006/relationships/hyperlink" Target="http://www.legislation.gov.uk/uksi/2019/266/pdfs/uksi_20190266_en.pdf" TargetMode="External"/><Relationship Id="rId66" Type="http://schemas.openxmlformats.org/officeDocument/2006/relationships/hyperlink" Target="http://www.legislation.gov.uk/uksi/2018/1321/contents/made" TargetMode="External"/><Relationship Id="rId74" Type="http://schemas.openxmlformats.org/officeDocument/2006/relationships/hyperlink" Target="https://www.legislation.gov.uk/uksi/2018/1149/pdfs/uksi_20181149_en.pdf" TargetMode="External"/><Relationship Id="rId79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://www.legislation.gov.uk/uksi/2018/1403/pdfs/uksi_20181403_en.pdf" TargetMode="External"/><Relationship Id="rId82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uksi/2018/1297/contents/made" TargetMode="External"/><Relationship Id="rId31" Type="http://schemas.openxmlformats.org/officeDocument/2006/relationships/hyperlink" Target="http://www.legislation.gov.uk/uksi/2019/657/pdfs/uksi_20190657_en.pdf" TargetMode="External"/><Relationship Id="rId44" Type="http://schemas.openxmlformats.org/officeDocument/2006/relationships/hyperlink" Target="http://www.legislation.gov.uk/ukdsi/2019/9780111178416/pdfs/ukdsics_9780111178416_en_001.pdf" TargetMode="External"/><Relationship Id="rId52" Type="http://schemas.openxmlformats.org/officeDocument/2006/relationships/hyperlink" Target="http://www.legislation.gov.uk/uksi/2019/333/pdfs/uksi_20190333_en.pdf" TargetMode="External"/><Relationship Id="rId60" Type="http://schemas.openxmlformats.org/officeDocument/2006/relationships/hyperlink" Target="http://www.legislation.gov.uk/uksi/2019/93/pdfs/uksi_20190093_en.pdf" TargetMode="External"/><Relationship Id="rId65" Type="http://schemas.openxmlformats.org/officeDocument/2006/relationships/hyperlink" Target="http://www.legislation.gov.uk/uksi/2018/1320/made" TargetMode="External"/><Relationship Id="rId73" Type="http://schemas.openxmlformats.org/officeDocument/2006/relationships/hyperlink" Target="http://www.legislation.gov.uk/uksi/2018/1184/contents/made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.uk/uksi/2019/1233/pdfs/uksi_20191233_en.pdf" TargetMode="External"/><Relationship Id="rId22" Type="http://schemas.openxmlformats.org/officeDocument/2006/relationships/hyperlink" Target="http://www.legislation.gov.uk/uksi/2019/1416/made" TargetMode="External"/><Relationship Id="rId27" Type="http://schemas.openxmlformats.org/officeDocument/2006/relationships/hyperlink" Target="http://www.legislation.gov.uk/uksi/2019/680/pdfs/uksi_20190680_en.pdf" TargetMode="External"/><Relationship Id="rId30" Type="http://schemas.openxmlformats.org/officeDocument/2006/relationships/hyperlink" Target="http://www.legislation.gov.uk/uksi/2019/656/pdfs/uksi_20190656_en.pdf" TargetMode="External"/><Relationship Id="rId35" Type="http://schemas.openxmlformats.org/officeDocument/2006/relationships/hyperlink" Target="http://www.legislation.gov.uk/uksi/2019/661/pdfs/uksi_20190661_en.pdf" TargetMode="External"/><Relationship Id="rId43" Type="http://schemas.openxmlformats.org/officeDocument/2006/relationships/hyperlink" Target="http://www.legislation.gov.uk/uksi/2019/405/contents/made" TargetMode="External"/><Relationship Id="rId48" Type="http://schemas.openxmlformats.org/officeDocument/2006/relationships/hyperlink" Target="http://www.legislation.gov.uk/uksi/2019/341/pdfs/uksi_20190341_en.pdf" TargetMode="External"/><Relationship Id="rId56" Type="http://schemas.openxmlformats.org/officeDocument/2006/relationships/hyperlink" Target="http://www.legislation.gov.uk/uksi/2019/284/pdfs/uksi_20190284_en.pdf" TargetMode="External"/><Relationship Id="rId64" Type="http://schemas.openxmlformats.org/officeDocument/2006/relationships/hyperlink" Target="http://www.legislation.gov.uk/uksi/2018/1318/pdfs/uksi_20181318_en.pdf" TargetMode="External"/><Relationship Id="rId69" Type="http://schemas.openxmlformats.org/officeDocument/2006/relationships/hyperlink" Target="http://www.legislation.gov.uk/uksi/2018/1285/contents/made" TargetMode="External"/><Relationship Id="rId77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://www.legislation.gov.uk/uksi/2019/335/pdfs/uksi_20190335_en.pdf" TargetMode="External"/><Relationship Id="rId72" Type="http://schemas.openxmlformats.org/officeDocument/2006/relationships/hyperlink" Target="http://www.legislation.gov.uk/uksi/2018/1187/contents/made" TargetMode="External"/><Relationship Id="rId80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://www.legislation.gov.uk/uksi/2019/1232/pdfs/uksi_20191232_en.pdf" TargetMode="External"/><Relationship Id="rId17" Type="http://schemas.openxmlformats.org/officeDocument/2006/relationships/hyperlink" Target="http://www.legislation.gov.uk/uksi/2019/38/introduction/made" TargetMode="External"/><Relationship Id="rId25" Type="http://schemas.openxmlformats.org/officeDocument/2006/relationships/hyperlink" Target="http://www.legislation.gov.uk/uksi/2019/707/pdfs/uksi_20190707_en.pdf" TargetMode="External"/><Relationship Id="rId33" Type="http://schemas.openxmlformats.org/officeDocument/2006/relationships/hyperlink" Target="http://www.legislation.gov.uk/uksi/2019/662/pdfs/uksi_20190662_en.pdf" TargetMode="External"/><Relationship Id="rId38" Type="http://schemas.openxmlformats.org/officeDocument/2006/relationships/hyperlink" Target="http://www.legislation.gov.uk/uksi/2019/576/pdfs/uksi_20190576_en.pdf" TargetMode="External"/><Relationship Id="rId46" Type="http://schemas.openxmlformats.org/officeDocument/2006/relationships/hyperlink" Target="http://www.legislation.gov.uk/uksi/2019/383/contents/made" TargetMode="External"/><Relationship Id="rId59" Type="http://schemas.openxmlformats.org/officeDocument/2006/relationships/hyperlink" Target="http://www.legislation.gov.uk/uksi/2019/253/contents/made" TargetMode="External"/><Relationship Id="rId67" Type="http://schemas.openxmlformats.org/officeDocument/2006/relationships/hyperlink" Target="http://www.legislation.gov.uk/uksi/2018/1321/pdfs/uksics_20181321_en_001.pdf" TargetMode="External"/><Relationship Id="rId20" Type="http://schemas.openxmlformats.org/officeDocument/2006/relationships/hyperlink" Target="http://www.legislation.gov.uk/uksi/2018/1038/pdfs/uksi_20181038_en.pdf" TargetMode="External"/><Relationship Id="rId41" Type="http://schemas.openxmlformats.org/officeDocument/2006/relationships/hyperlink" Target="http://www.legislation.gov.uk/uksi/2019/541/pdfs/uksi_20190541_en.pdf" TargetMode="External"/><Relationship Id="rId54" Type="http://schemas.openxmlformats.org/officeDocument/2006/relationships/hyperlink" Target="http://www.legislation.gov.uk/uksi/2019/325/pdfs/uksi_20190325_en.pdf" TargetMode="External"/><Relationship Id="rId62" Type="http://schemas.openxmlformats.org/officeDocument/2006/relationships/hyperlink" Target="http://www.legislation.gov.uk/uksi/2018/1401/pdfs/uksi_20181401_en.pdf" TargetMode="External"/><Relationship Id="rId70" Type="http://schemas.openxmlformats.org/officeDocument/2006/relationships/hyperlink" Target="http://www.legislation.gov.uk/uksi/2018/1201/pdfs/uksi_20181201_en.pdf" TargetMode="External"/><Relationship Id="rId75" Type="http://schemas.openxmlformats.org/officeDocument/2006/relationships/hyperlink" Target="http://www.legislation.gov.uk/uksi/2018/1115/pdfs/uksi_20181115_en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legislation.gov.uk/uksi/2019/1212/pdfs/uksi_20191212_en.pdf" TargetMode="External"/><Relationship Id="rId23" Type="http://schemas.openxmlformats.org/officeDocument/2006/relationships/hyperlink" Target="http://www.legislation.gov.uk/uksi/2019/1361/introduction/made" TargetMode="External"/><Relationship Id="rId28" Type="http://schemas.openxmlformats.org/officeDocument/2006/relationships/hyperlink" Target="http://www.legislation.gov.uk/uksi/2019/681/pdfs/uksi_20190681_en.pdf" TargetMode="External"/><Relationship Id="rId36" Type="http://schemas.openxmlformats.org/officeDocument/2006/relationships/hyperlink" Target="http://www.legislation.gov.uk/uksi/2019/632/pdfs/uksi_20190632_en.pdf" TargetMode="External"/><Relationship Id="rId49" Type="http://schemas.openxmlformats.org/officeDocument/2006/relationships/hyperlink" Target="http://www.legislation.gov.uk/uksi/2019/343/pdfs/uksi_20190343_en.pdf" TargetMode="External"/><Relationship Id="rId57" Type="http://schemas.openxmlformats.org/officeDocument/2006/relationships/hyperlink" Target="http://www.legislation.gov.uk/uksi/2019/264/pdfs/uksi_20190264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9-10-31T17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BB7F5-E309-4F92-B583-ED065D6F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187</TotalTime>
  <Pages>4</Pages>
  <Words>1872</Words>
  <Characters>11888</Characters>
  <Application>Microsoft Office Word</Application>
  <DocSecurity>0</DocSecurity>
  <Lines>396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29</cp:revision>
  <cp:lastPrinted>2019-01-02T15:40:00Z</cp:lastPrinted>
  <dcterms:created xsi:type="dcterms:W3CDTF">2018-12-17T12:53:00Z</dcterms:created>
  <dcterms:modified xsi:type="dcterms:W3CDTF">2019-11-04T14:02:00Z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0x0101008E1931B9D01341BF82A1BE848E2F0648000D63B21F009B944AA79D7724E168C8DD</vt:lpwstr>
  </property>
  <property fmtid="{D5CDD505-2E9C-101B-9397-08002B2CF9AE}" pid="3" name="DisplayName">
    <vt:lpwstr>Document</vt:lpwstr>
  </property>
  <property fmtid="{D5CDD505-2E9C-101B-9397-08002B2CF9AE}" pid="4" name="DMProfile">
    <vt:lpwstr>Document</vt:lpwstr>
  </property>
  <property fmtid="{D5CDD505-2E9C-101B-9397-08002B2CF9AE}" pid="5" name="FilePedigree">
    <vt:lpwstr>OSAX</vt:lpwstr>
  </property>
  <property fmtid="{D5CDD505-2E9C-101B-9397-08002B2CF9AE}" pid="6" name="TemplateFileName">
    <vt:lpwstr>AODocument.dotm</vt:lpwstr>
  </property>
  <property fmtid="{D5CDD505-2E9C-101B-9397-08002B2CF9AE}" pid="7" name="OSADocumentType">
    <vt:lpwstr>1</vt:lpwstr>
  </property>
  <property fmtid="{D5CDD505-2E9C-101B-9397-08002B2CF9AE}" pid="8" name="AuthorDescription">
    <vt:lpwstr>Oonagh Harrison</vt:lpwstr>
  </property>
  <property fmtid="{D5CDD505-2E9C-101B-9397-08002B2CF9AE}" pid="9" name="AuthorName">
    <vt:lpwstr>Oonagh Harrison</vt:lpwstr>
  </property>
  <property fmtid="{D5CDD505-2E9C-101B-9397-08002B2CF9AE}" pid="10" name="AuthorInitials">
    <vt:lpwstr/>
  </property>
  <property fmtid="{D5CDD505-2E9C-101B-9397-08002B2CF9AE}" pid="11" name="AuthorJobTitle">
    <vt:lpwstr>Senior PSL</vt:lpwstr>
  </property>
  <property fmtid="{D5CDD505-2E9C-101B-9397-08002B2CF9AE}" pid="12" name="AuthorEmail">
    <vt:lpwstr/>
  </property>
  <property fmtid="{D5CDD505-2E9C-101B-9397-08002B2CF9AE}" pid="13" name="AuthorDirectLine">
    <vt:lpwstr/>
  </property>
  <property fmtid="{D5CDD505-2E9C-101B-9397-08002B2CF9AE}" pid="14" name="AuthorMobilePhone">
    <vt:lpwstr/>
  </property>
  <property fmtid="{D5CDD505-2E9C-101B-9397-08002B2CF9AE}" pid="15" name="AuthorPersonalFax">
    <vt:lpwstr/>
  </property>
  <property fmtid="{D5CDD505-2E9C-101B-9397-08002B2CF9AE}" pid="16" name="OurRef">
    <vt:lpwstr/>
  </property>
  <property fmtid="{D5CDD505-2E9C-101B-9397-08002B2CF9AE}" pid="17" name="LanguageID">
    <vt:lpwstr>English (UK)</vt:lpwstr>
  </property>
  <property fmtid="{D5CDD505-2E9C-101B-9397-08002B2CF9AE}" pid="18" name="OfficeID">
    <vt:lpwstr>London</vt:lpwstr>
  </property>
  <property fmtid="{D5CDD505-2E9C-101B-9397-08002B2CF9AE}" pid="19" name="TemplateName">
    <vt:lpwstr>AODocument.dotm</vt:lpwstr>
  </property>
  <property fmtid="{D5CDD505-2E9C-101B-9397-08002B2CF9AE}" pid="20" name="cpFooterText">
    <vt:lpwstr> </vt:lpwstr>
  </property>
  <property fmtid="{D5CDD505-2E9C-101B-9397-08002B2CF9AE}" pid="21" name="cpHeaderText">
    <vt:lpwstr> </vt:lpwstr>
  </property>
  <property fmtid="{D5CDD505-2E9C-101B-9397-08002B2CF9AE}" pid="22" name="Client">
    <vt:lpwstr>0010023</vt:lpwstr>
  </property>
  <property fmtid="{D5CDD505-2E9C-101B-9397-08002B2CF9AE}" pid="23" name="Matter">
    <vt:lpwstr>0027435</vt:lpwstr>
  </property>
  <property fmtid="{D5CDD505-2E9C-101B-9397-08002B2CF9AE}" pid="24" name="cpClientMatter">
    <vt:lpwstr>0010023-0027435</vt:lpwstr>
  </property>
  <property fmtid="{D5CDD505-2E9C-101B-9397-08002B2CF9AE}" pid="25" name="cpDocRef">
    <vt:lpwstr>BK:47140143.1</vt:lpwstr>
  </property>
  <property fmtid="{D5CDD505-2E9C-101B-9397-08002B2CF9AE}" pid="26" name="cpCombinedRef">
    <vt:lpwstr>0010023-0027435 BK:47140143.1</vt:lpwstr>
  </property>
</Properties>
</file>